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34C3" w:rsidRDefault="00FF34C3" w:rsidP="00FF34C3">
      <w:pPr>
        <w:pStyle w:val="Rubrik"/>
        <w:jc w:val="center"/>
        <w:rPr>
          <w:b/>
          <w:sz w:val="48"/>
          <w:szCs w:val="48"/>
          <w:lang w:val="en-US"/>
        </w:rPr>
      </w:pPr>
    </w:p>
    <w:p w:rsidR="00C952AF" w:rsidRPr="00294618" w:rsidRDefault="00EF046D" w:rsidP="007D47F9">
      <w:pPr>
        <w:pStyle w:val="Rubrik"/>
        <w:spacing w:line="276" w:lineRule="auto"/>
        <w:jc w:val="center"/>
        <w:rPr>
          <w:b/>
          <w:sz w:val="48"/>
          <w:szCs w:val="48"/>
          <w:lang w:val="en-US"/>
        </w:rPr>
      </w:pPr>
      <w:r w:rsidRPr="00294618">
        <w:rPr>
          <w:b/>
          <w:sz w:val="48"/>
          <w:szCs w:val="48"/>
          <w:lang w:val="en-US"/>
        </w:rPr>
        <w:t xml:space="preserve">Joint </w:t>
      </w:r>
      <w:r w:rsidR="00294618" w:rsidRPr="00294618">
        <w:rPr>
          <w:b/>
          <w:sz w:val="48"/>
          <w:szCs w:val="48"/>
          <w:lang w:val="en-US"/>
        </w:rPr>
        <w:t xml:space="preserve">Recommendation </w:t>
      </w:r>
      <w:r w:rsidRPr="00294618">
        <w:rPr>
          <w:b/>
          <w:sz w:val="48"/>
          <w:szCs w:val="48"/>
          <w:lang w:val="en-US"/>
        </w:rPr>
        <w:t xml:space="preserve">of the </w:t>
      </w:r>
      <w:r w:rsidR="00DE0E51" w:rsidRPr="00294618">
        <w:rPr>
          <w:b/>
          <w:sz w:val="48"/>
          <w:szCs w:val="48"/>
          <w:lang w:val="en-US"/>
        </w:rPr>
        <w:t>BALTFISH</w:t>
      </w:r>
    </w:p>
    <w:p w:rsidR="00DE0E51" w:rsidRDefault="00DE0E51" w:rsidP="007D47F9">
      <w:pPr>
        <w:pStyle w:val="Rubrik"/>
        <w:spacing w:line="276" w:lineRule="auto"/>
        <w:jc w:val="center"/>
        <w:rPr>
          <w:b/>
          <w:sz w:val="48"/>
          <w:szCs w:val="48"/>
          <w:lang w:val="en-US"/>
        </w:rPr>
      </w:pPr>
      <w:r w:rsidRPr="00294618">
        <w:rPr>
          <w:b/>
          <w:sz w:val="48"/>
          <w:szCs w:val="48"/>
          <w:lang w:val="en-US"/>
        </w:rPr>
        <w:t>High Level Group</w:t>
      </w:r>
    </w:p>
    <w:p w:rsidR="0078741F" w:rsidRDefault="0078741F" w:rsidP="0078741F">
      <w:pPr>
        <w:pStyle w:val="Rubrik"/>
        <w:spacing w:after="0"/>
        <w:jc w:val="center"/>
        <w:rPr>
          <w:sz w:val="44"/>
          <w:szCs w:val="44"/>
          <w:lang w:val="en-US"/>
        </w:rPr>
      </w:pPr>
    </w:p>
    <w:p w:rsidR="00031A26" w:rsidRDefault="00F46501" w:rsidP="0023453B">
      <w:pPr>
        <w:pStyle w:val="Rubrik"/>
        <w:spacing w:before="240"/>
        <w:jc w:val="center"/>
        <w:rPr>
          <w:sz w:val="44"/>
          <w:szCs w:val="44"/>
          <w:lang w:val="en-US"/>
        </w:rPr>
      </w:pPr>
      <w:r>
        <w:rPr>
          <w:sz w:val="44"/>
          <w:szCs w:val="44"/>
          <w:lang w:val="en-US"/>
        </w:rPr>
        <w:t xml:space="preserve">Implementation of the </w:t>
      </w:r>
      <w:r w:rsidR="00294618" w:rsidRPr="00294618">
        <w:rPr>
          <w:sz w:val="44"/>
          <w:szCs w:val="44"/>
          <w:lang w:val="en-US"/>
        </w:rPr>
        <w:t>Landing obligation for the Baltic Sea</w:t>
      </w:r>
      <w:r>
        <w:rPr>
          <w:sz w:val="44"/>
          <w:szCs w:val="44"/>
          <w:lang w:val="en-US"/>
        </w:rPr>
        <w:t xml:space="preserve"> </w:t>
      </w:r>
      <w:r w:rsidR="00294618" w:rsidRPr="00294618">
        <w:rPr>
          <w:sz w:val="44"/>
          <w:szCs w:val="44"/>
          <w:lang w:val="en-US"/>
        </w:rPr>
        <w:t>as of 1</w:t>
      </w:r>
      <w:r w:rsidR="00294618" w:rsidRPr="00294618">
        <w:rPr>
          <w:sz w:val="44"/>
          <w:szCs w:val="44"/>
          <w:vertAlign w:val="superscript"/>
          <w:lang w:val="en-US"/>
        </w:rPr>
        <w:t>st</w:t>
      </w:r>
      <w:r w:rsidR="00294618" w:rsidRPr="00294618">
        <w:rPr>
          <w:sz w:val="44"/>
          <w:szCs w:val="44"/>
          <w:lang w:val="en-US"/>
        </w:rPr>
        <w:t xml:space="preserve"> of January 2018 </w:t>
      </w:r>
    </w:p>
    <w:p w:rsidR="00FF34C3" w:rsidRDefault="00FF34C3" w:rsidP="00FF34C3">
      <w:pPr>
        <w:pStyle w:val="Rubrik1"/>
        <w:numPr>
          <w:ilvl w:val="0"/>
          <w:numId w:val="0"/>
        </w:numPr>
        <w:spacing w:before="0" w:after="0" w:line="240" w:lineRule="auto"/>
        <w:rPr>
          <w:lang w:val="en-US"/>
        </w:rPr>
      </w:pPr>
    </w:p>
    <w:p w:rsidR="00A83E04" w:rsidRDefault="00616527" w:rsidP="00D92523">
      <w:pPr>
        <w:pStyle w:val="Rubrik1"/>
        <w:numPr>
          <w:ilvl w:val="0"/>
          <w:numId w:val="43"/>
        </w:numPr>
        <w:spacing w:before="0"/>
        <w:rPr>
          <w:lang w:val="en-US"/>
        </w:rPr>
      </w:pPr>
      <w:r>
        <w:rPr>
          <w:lang w:val="en-US"/>
        </w:rPr>
        <w:t>Background</w:t>
      </w:r>
    </w:p>
    <w:p w:rsidR="007D47F9" w:rsidRDefault="007D47F9" w:rsidP="00294618">
      <w:pPr>
        <w:jc w:val="both"/>
        <w:rPr>
          <w:lang w:val="en-US"/>
        </w:rPr>
      </w:pPr>
    </w:p>
    <w:p w:rsidR="00294618" w:rsidRPr="007D47F9" w:rsidRDefault="00294618" w:rsidP="00294618">
      <w:pPr>
        <w:jc w:val="both"/>
        <w:rPr>
          <w:lang w:val="en-US"/>
        </w:rPr>
      </w:pPr>
      <w:r w:rsidRPr="007D47F9">
        <w:rPr>
          <w:lang w:val="en-US"/>
        </w:rPr>
        <w:t>Regulation 1380/2013 (EU) of 11 December 2013 on the Common Fisheries Policy, CFP, lays down provisions for the implementation of the landing obligation. In accordance with Article 15 (6) and Article 18 of this Regulation, the Commission adopted the Delegated Regulation (EU) 1396/2014 for establishing a discard plan in the Baltic Sea based on the BALTFISH Joint Recommendation submitted to the Commission 0n 27 May 2014.</w:t>
      </w:r>
    </w:p>
    <w:p w:rsidR="00477CAA" w:rsidRPr="007D47F9" w:rsidRDefault="00294618" w:rsidP="00294618">
      <w:pPr>
        <w:jc w:val="both"/>
        <w:rPr>
          <w:lang w:val="en-US"/>
        </w:rPr>
      </w:pPr>
      <w:r w:rsidRPr="007D47F9">
        <w:rPr>
          <w:lang w:val="en-US"/>
        </w:rPr>
        <w:t>Regulation 1380/2013 (EU) stipulates that provisions for the implementation of the landing obligation should be based on a management plan. However, at the time the Delegated Regulations was adopted, there was no management plan for the fisheries in the Baltic Sea in force. Therefore, in accordance with Article 15(6) of Regulation (EU) 1380/2013 the landing obligation was implemented through the Delegated Regulation (EU) 1396/2014</w:t>
      </w:r>
      <w:r w:rsidR="00477CAA" w:rsidRPr="007D47F9">
        <w:rPr>
          <w:lang w:val="en-US"/>
        </w:rPr>
        <w:t xml:space="preserve">. Regulation (EU) 1380/2013 rules a maximum duration of these discard plans of </w:t>
      </w:r>
      <w:r w:rsidRPr="007D47F9">
        <w:rPr>
          <w:lang w:val="en-US"/>
        </w:rPr>
        <w:t xml:space="preserve">three years. After this period </w:t>
      </w:r>
      <w:r w:rsidR="00477CAA" w:rsidRPr="007D47F9">
        <w:rPr>
          <w:lang w:val="en-US"/>
        </w:rPr>
        <w:t>the</w:t>
      </w:r>
      <w:r w:rsidRPr="007D47F9">
        <w:rPr>
          <w:lang w:val="en-US"/>
        </w:rPr>
        <w:t xml:space="preserve"> landing obligation shall be based on a management plan for the fisheries in question. </w:t>
      </w:r>
      <w:r w:rsidR="00400B65" w:rsidRPr="007D47F9">
        <w:rPr>
          <w:lang w:val="en-US"/>
        </w:rPr>
        <w:t>Consequently, t</w:t>
      </w:r>
      <w:r w:rsidRPr="007D47F9">
        <w:rPr>
          <w:lang w:val="en-US"/>
        </w:rPr>
        <w:t xml:space="preserve">he </w:t>
      </w:r>
      <w:r w:rsidR="00400B65" w:rsidRPr="007D47F9">
        <w:rPr>
          <w:lang w:val="en-US"/>
        </w:rPr>
        <w:t xml:space="preserve">future provisions of the landing obligation </w:t>
      </w:r>
      <w:r w:rsidR="00477CAA" w:rsidRPr="007D47F9">
        <w:rPr>
          <w:lang w:val="en-US"/>
        </w:rPr>
        <w:t xml:space="preserve">for fisheries in the Baltic Sea </w:t>
      </w:r>
      <w:r w:rsidR="00400B65" w:rsidRPr="007D47F9">
        <w:rPr>
          <w:lang w:val="en-US"/>
        </w:rPr>
        <w:t xml:space="preserve">have to </w:t>
      </w:r>
      <w:r w:rsidRPr="007D47F9">
        <w:rPr>
          <w:lang w:val="en-US"/>
        </w:rPr>
        <w:t xml:space="preserve">be based on Regulation </w:t>
      </w:r>
      <w:r w:rsidR="00400B65" w:rsidRPr="007D47F9">
        <w:rPr>
          <w:lang w:val="en-US"/>
        </w:rPr>
        <w:t xml:space="preserve">(EU) </w:t>
      </w:r>
      <w:r w:rsidRPr="007D47F9">
        <w:rPr>
          <w:lang w:val="en-US"/>
        </w:rPr>
        <w:t xml:space="preserve">2016/1139, the Multiannual Management Plan </w:t>
      </w:r>
      <w:r w:rsidR="00400B65" w:rsidRPr="007D47F9">
        <w:rPr>
          <w:lang w:val="en-US"/>
        </w:rPr>
        <w:t xml:space="preserve">(MAP) </w:t>
      </w:r>
      <w:r w:rsidRPr="007D47F9">
        <w:rPr>
          <w:lang w:val="en-US"/>
        </w:rPr>
        <w:t>for Baltic Sea</w:t>
      </w:r>
      <w:r w:rsidR="00477CAA" w:rsidRPr="007D47F9">
        <w:rPr>
          <w:lang w:val="en-US"/>
        </w:rPr>
        <w:t xml:space="preserve"> stocks</w:t>
      </w:r>
      <w:r w:rsidRPr="007D47F9">
        <w:rPr>
          <w:lang w:val="en-US"/>
        </w:rPr>
        <w:t xml:space="preserve">. </w:t>
      </w:r>
    </w:p>
    <w:p w:rsidR="004272B6" w:rsidRPr="007D47F9" w:rsidRDefault="00477CAA" w:rsidP="00294618">
      <w:pPr>
        <w:jc w:val="both"/>
        <w:rPr>
          <w:lang w:val="en-US"/>
        </w:rPr>
      </w:pPr>
      <w:r w:rsidRPr="007D47F9">
        <w:rPr>
          <w:lang w:val="en-US"/>
        </w:rPr>
        <w:t>According to the current discard plan for the</w:t>
      </w:r>
      <w:r w:rsidR="00294618" w:rsidRPr="007D47F9">
        <w:rPr>
          <w:lang w:val="en-US"/>
        </w:rPr>
        <w:t xml:space="preserve"> Baltic Sea cod, herring, sprat, salmon and plaice are subject to </w:t>
      </w:r>
      <w:r w:rsidR="008A0DAF" w:rsidRPr="007D47F9">
        <w:rPr>
          <w:lang w:val="en-US"/>
        </w:rPr>
        <w:t xml:space="preserve">the </w:t>
      </w:r>
      <w:r w:rsidR="00294618" w:rsidRPr="007D47F9">
        <w:rPr>
          <w:lang w:val="en-US"/>
        </w:rPr>
        <w:t xml:space="preserve">landing obligation. </w:t>
      </w:r>
      <w:r w:rsidR="008A0DAF" w:rsidRPr="007D47F9">
        <w:rPr>
          <w:lang w:val="en-US"/>
        </w:rPr>
        <w:t xml:space="preserve">Exemptions thereof are provided for certain fisheries of cod and salmon based on high survivability. </w:t>
      </w:r>
      <w:r w:rsidR="008A0DAF" w:rsidRPr="007D47F9">
        <w:rPr>
          <w:i/>
          <w:lang w:val="en-US"/>
        </w:rPr>
        <w:t xml:space="preserve">De </w:t>
      </w:r>
      <w:proofErr w:type="spellStart"/>
      <w:r w:rsidR="008A0DAF" w:rsidRPr="007D47F9">
        <w:rPr>
          <w:i/>
          <w:lang w:val="en-US"/>
        </w:rPr>
        <w:t>minimis</w:t>
      </w:r>
      <w:proofErr w:type="spellEnd"/>
      <w:r w:rsidR="008A0DAF" w:rsidRPr="007D47F9">
        <w:rPr>
          <w:lang w:val="en-US"/>
        </w:rPr>
        <w:t xml:space="preserve"> exemptions do not apply. Furthermore, the Minimum Conservation Reference Size (MCRS) </w:t>
      </w:r>
      <w:r w:rsidR="008E6B7F" w:rsidRPr="007D47F9">
        <w:rPr>
          <w:lang w:val="en-US"/>
        </w:rPr>
        <w:t xml:space="preserve">for cod </w:t>
      </w:r>
      <w:r w:rsidR="008A0DAF" w:rsidRPr="007D47F9">
        <w:rPr>
          <w:lang w:val="en-US"/>
        </w:rPr>
        <w:t xml:space="preserve">is set at 35 cm. </w:t>
      </w:r>
    </w:p>
    <w:p w:rsidR="00294618" w:rsidRPr="007D47F9" w:rsidRDefault="004272B6" w:rsidP="00294618">
      <w:pPr>
        <w:jc w:val="both"/>
        <w:rPr>
          <w:lang w:val="en-US"/>
        </w:rPr>
      </w:pPr>
      <w:r w:rsidRPr="007D47F9">
        <w:rPr>
          <w:lang w:val="en-US"/>
        </w:rPr>
        <w:t xml:space="preserve">The provisions of the current discard plan have proved to be effective and </w:t>
      </w:r>
      <w:proofErr w:type="gramStart"/>
      <w:r w:rsidRPr="007D47F9">
        <w:rPr>
          <w:lang w:val="en-US"/>
        </w:rPr>
        <w:t>appropriate,</w:t>
      </w:r>
      <w:proofErr w:type="gramEnd"/>
      <w:r w:rsidRPr="007D47F9">
        <w:rPr>
          <w:lang w:val="en-US"/>
        </w:rPr>
        <w:t xml:space="preserve"> amendments have not been requested so far.</w:t>
      </w:r>
      <w:bookmarkStart w:id="0" w:name="_GoBack"/>
      <w:bookmarkEnd w:id="0"/>
    </w:p>
    <w:p w:rsidR="007D47F9" w:rsidRDefault="007D47F9">
      <w:pPr>
        <w:spacing w:after="0" w:line="240" w:lineRule="auto"/>
        <w:rPr>
          <w:lang w:val="en-US"/>
        </w:rPr>
      </w:pPr>
      <w:r>
        <w:rPr>
          <w:lang w:val="en-US"/>
        </w:rPr>
        <w:br w:type="page"/>
      </w:r>
    </w:p>
    <w:p w:rsidR="00832246" w:rsidRPr="00616527" w:rsidRDefault="009A45FE" w:rsidP="00832246">
      <w:pPr>
        <w:pStyle w:val="Underrubrik"/>
        <w:rPr>
          <w:b/>
          <w:lang w:val="en-US"/>
        </w:rPr>
      </w:pPr>
      <w:r w:rsidRPr="00616527">
        <w:rPr>
          <w:b/>
          <w:bCs/>
          <w:iCs w:val="0"/>
          <w:color w:val="365F91" w:themeColor="accent1" w:themeShade="BF"/>
          <w:spacing w:val="0"/>
          <w:lang w:val="en-US"/>
        </w:rPr>
        <w:lastRenderedPageBreak/>
        <w:t>1.1</w:t>
      </w:r>
      <w:r w:rsidR="00616527">
        <w:rPr>
          <w:b/>
          <w:bCs/>
          <w:iCs w:val="0"/>
          <w:color w:val="365F91" w:themeColor="accent1" w:themeShade="BF"/>
          <w:spacing w:val="0"/>
          <w:lang w:val="en-US"/>
        </w:rPr>
        <w:tab/>
      </w:r>
      <w:r w:rsidRPr="00616527">
        <w:rPr>
          <w:b/>
          <w:bCs/>
          <w:iCs w:val="0"/>
          <w:color w:val="365F91" w:themeColor="accent1" w:themeShade="BF"/>
          <w:spacing w:val="0"/>
          <w:lang w:val="en-US"/>
        </w:rPr>
        <w:tab/>
        <w:t>BALTFISH High Level Group</w:t>
      </w:r>
      <w:r w:rsidR="00A1384F">
        <w:rPr>
          <w:b/>
          <w:bCs/>
          <w:iCs w:val="0"/>
          <w:color w:val="365F91" w:themeColor="accent1" w:themeShade="BF"/>
          <w:spacing w:val="0"/>
          <w:lang w:val="en-US"/>
        </w:rPr>
        <w:t xml:space="preserve"> (HLG)</w:t>
      </w:r>
    </w:p>
    <w:p w:rsidR="004272B6" w:rsidRPr="007D47F9" w:rsidRDefault="003931B4" w:rsidP="004272B6">
      <w:pPr>
        <w:jc w:val="both"/>
        <w:rPr>
          <w:lang w:val="en-US"/>
        </w:rPr>
      </w:pPr>
      <w:r w:rsidRPr="007D47F9">
        <w:rPr>
          <w:lang w:val="en-US"/>
        </w:rPr>
        <w:t xml:space="preserve">Against this background </w:t>
      </w:r>
      <w:r w:rsidR="00393A8A" w:rsidRPr="007D47F9">
        <w:rPr>
          <w:lang w:val="en-US"/>
        </w:rPr>
        <w:t xml:space="preserve">the </w:t>
      </w:r>
      <w:r w:rsidR="00280FBE" w:rsidRPr="007D47F9">
        <w:rPr>
          <w:lang w:val="en-US"/>
        </w:rPr>
        <w:t xml:space="preserve">BALTFISH </w:t>
      </w:r>
      <w:r w:rsidR="00C952AF" w:rsidRPr="007D47F9">
        <w:rPr>
          <w:lang w:val="en-US"/>
        </w:rPr>
        <w:t xml:space="preserve">High Level </w:t>
      </w:r>
      <w:r w:rsidR="00AD62F0" w:rsidRPr="007D47F9">
        <w:rPr>
          <w:lang w:val="en-US"/>
        </w:rPr>
        <w:t xml:space="preserve">Group </w:t>
      </w:r>
      <w:r w:rsidR="004272B6" w:rsidRPr="007D47F9">
        <w:rPr>
          <w:lang w:val="en-US"/>
        </w:rPr>
        <w:t xml:space="preserve">concurred that the provisions of the current discard plan should be maintained in the </w:t>
      </w:r>
      <w:r w:rsidR="00A1384F" w:rsidRPr="007D47F9">
        <w:rPr>
          <w:lang w:val="en-US"/>
        </w:rPr>
        <w:t xml:space="preserve">future </w:t>
      </w:r>
      <w:r w:rsidR="004272B6" w:rsidRPr="007D47F9">
        <w:rPr>
          <w:lang w:val="en-US"/>
        </w:rPr>
        <w:t xml:space="preserve">Delegated Regulation on the landing obligation for the Baltic Sea. However, salmon does not fall under the scope of the MAP. Hence, provisions for exemptions from the landing obligation for this stock can </w:t>
      </w:r>
      <w:r w:rsidR="00A1384F" w:rsidRPr="007D47F9">
        <w:rPr>
          <w:lang w:val="en-US"/>
        </w:rPr>
        <w:t xml:space="preserve">currently </w:t>
      </w:r>
      <w:r w:rsidR="004272B6" w:rsidRPr="007D47F9">
        <w:rPr>
          <w:lang w:val="en-US"/>
        </w:rPr>
        <w:t xml:space="preserve">only </w:t>
      </w:r>
      <w:proofErr w:type="gramStart"/>
      <w:r w:rsidR="004272B6" w:rsidRPr="007D47F9">
        <w:rPr>
          <w:lang w:val="en-US"/>
        </w:rPr>
        <w:t>be</w:t>
      </w:r>
      <w:proofErr w:type="gramEnd"/>
      <w:r w:rsidR="004272B6" w:rsidRPr="007D47F9">
        <w:rPr>
          <w:lang w:val="en-US"/>
        </w:rPr>
        <w:t xml:space="preserve"> based on Art. </w:t>
      </w:r>
      <w:proofErr w:type="gramStart"/>
      <w:r w:rsidR="004272B6" w:rsidRPr="007D47F9">
        <w:rPr>
          <w:lang w:val="en-US"/>
        </w:rPr>
        <w:t xml:space="preserve">15 (7) </w:t>
      </w:r>
      <w:r w:rsidR="00A1384F" w:rsidRPr="007D47F9">
        <w:rPr>
          <w:lang w:val="en-US"/>
        </w:rPr>
        <w:t xml:space="preserve">Regulation (EU) 1380/2013 </w:t>
      </w:r>
      <w:r w:rsidR="004272B6" w:rsidRPr="007D47F9">
        <w:rPr>
          <w:lang w:val="en-US"/>
        </w:rPr>
        <w:t xml:space="preserve">which provides </w:t>
      </w:r>
      <w:r w:rsidR="00A1384F" w:rsidRPr="007D47F9">
        <w:rPr>
          <w:lang w:val="en-US"/>
        </w:rPr>
        <w:t xml:space="preserve">solely </w:t>
      </w:r>
      <w:r w:rsidR="004272B6" w:rsidRPr="007D47F9">
        <w:rPr>
          <w:lang w:val="en-US"/>
        </w:rPr>
        <w:t xml:space="preserve">for </w:t>
      </w:r>
      <w:r w:rsidR="004272B6" w:rsidRPr="007D47F9">
        <w:rPr>
          <w:i/>
          <w:lang w:val="en-US"/>
        </w:rPr>
        <w:t xml:space="preserve">de </w:t>
      </w:r>
      <w:proofErr w:type="spellStart"/>
      <w:r w:rsidR="004272B6" w:rsidRPr="007D47F9">
        <w:rPr>
          <w:i/>
          <w:lang w:val="en-US"/>
        </w:rPr>
        <w:t>minimis</w:t>
      </w:r>
      <w:proofErr w:type="spellEnd"/>
      <w:r w:rsidR="004272B6" w:rsidRPr="007D47F9">
        <w:rPr>
          <w:lang w:val="en-US"/>
        </w:rPr>
        <w:t xml:space="preserve"> exemptions.</w:t>
      </w:r>
      <w:proofErr w:type="gramEnd"/>
    </w:p>
    <w:p w:rsidR="004327BA" w:rsidRPr="007D47F9" w:rsidRDefault="00A1384F" w:rsidP="00A1384F">
      <w:pPr>
        <w:jc w:val="both"/>
        <w:rPr>
          <w:lang w:val="en-US"/>
        </w:rPr>
      </w:pPr>
      <w:r w:rsidRPr="007D47F9">
        <w:rPr>
          <w:lang w:val="en-US"/>
        </w:rPr>
        <w:t xml:space="preserve">Nonetheless, the HLG decided to incorporate the current exemptions for cod and salmon in this Joint Recommendation anticipating that the Multiannual Management Plan (MAP) for the North Sea extending the scope to all stocks in EU waters as regards the </w:t>
      </w:r>
      <w:r w:rsidR="004327BA" w:rsidRPr="007D47F9">
        <w:rPr>
          <w:lang w:val="en-US"/>
        </w:rPr>
        <w:t xml:space="preserve">details of the implementation of the </w:t>
      </w:r>
      <w:r w:rsidRPr="007D47F9">
        <w:rPr>
          <w:lang w:val="en-US"/>
        </w:rPr>
        <w:t xml:space="preserve">landing obligation </w:t>
      </w:r>
      <w:r w:rsidR="004327BA" w:rsidRPr="007D47F9">
        <w:rPr>
          <w:lang w:val="en-US"/>
        </w:rPr>
        <w:t xml:space="preserve">will be in force prior to 1 January 2018. </w:t>
      </w:r>
    </w:p>
    <w:p w:rsidR="00B33E37" w:rsidRPr="007D47F9" w:rsidRDefault="004327BA" w:rsidP="004327BA">
      <w:pPr>
        <w:jc w:val="both"/>
        <w:rPr>
          <w:lang w:val="en-US"/>
        </w:rPr>
      </w:pPr>
      <w:r w:rsidRPr="007D47F9">
        <w:rPr>
          <w:lang w:val="en-US"/>
        </w:rPr>
        <w:t xml:space="preserve">In parallel to this the HLG will submit an alternative Joint Recommendation which shall apply if the North Sea MAP will not enter into force until the end of 2017. </w:t>
      </w:r>
    </w:p>
    <w:p w:rsidR="00B33E1C" w:rsidRPr="00A71A61" w:rsidRDefault="00A71A61" w:rsidP="000E03BE">
      <w:pPr>
        <w:pStyle w:val="Underrubrik"/>
        <w:rPr>
          <w:b/>
          <w:bCs/>
          <w:iCs w:val="0"/>
          <w:color w:val="365F91" w:themeColor="accent1" w:themeShade="BF"/>
          <w:spacing w:val="0"/>
          <w:lang w:val="en-US"/>
        </w:rPr>
      </w:pPr>
      <w:r>
        <w:rPr>
          <w:b/>
          <w:bCs/>
          <w:iCs w:val="0"/>
          <w:color w:val="365F91" w:themeColor="accent1" w:themeShade="BF"/>
          <w:spacing w:val="0"/>
          <w:lang w:val="en-US"/>
        </w:rPr>
        <w:t>1.2</w:t>
      </w:r>
      <w:r>
        <w:rPr>
          <w:b/>
          <w:bCs/>
          <w:iCs w:val="0"/>
          <w:color w:val="365F91" w:themeColor="accent1" w:themeShade="BF"/>
          <w:spacing w:val="0"/>
          <w:lang w:val="en-US"/>
        </w:rPr>
        <w:tab/>
      </w:r>
      <w:r>
        <w:rPr>
          <w:b/>
          <w:bCs/>
          <w:iCs w:val="0"/>
          <w:color w:val="365F91" w:themeColor="accent1" w:themeShade="BF"/>
          <w:spacing w:val="0"/>
          <w:lang w:val="en-US"/>
        </w:rPr>
        <w:tab/>
      </w:r>
      <w:r w:rsidR="000E03BE" w:rsidRPr="00A71A61">
        <w:rPr>
          <w:b/>
          <w:bCs/>
          <w:iCs w:val="0"/>
          <w:color w:val="365F91" w:themeColor="accent1" w:themeShade="BF"/>
          <w:spacing w:val="0"/>
          <w:lang w:val="en-US"/>
        </w:rPr>
        <w:t xml:space="preserve">Consultation with relevant Advisory Councils </w:t>
      </w:r>
    </w:p>
    <w:p w:rsidR="0021446B" w:rsidRPr="0021446B" w:rsidRDefault="007140A2" w:rsidP="0021446B">
      <w:pPr>
        <w:rPr>
          <w:b/>
          <w:bCs/>
          <w:iCs/>
          <w:lang w:val="en-US"/>
        </w:rPr>
      </w:pPr>
      <w:r>
        <w:rPr>
          <w:lang w:val="en-US"/>
        </w:rPr>
        <w:t>T</w:t>
      </w:r>
      <w:r w:rsidR="0021446B" w:rsidRPr="0021446B">
        <w:rPr>
          <w:lang w:val="en-US"/>
        </w:rPr>
        <w:t xml:space="preserve">he BALTFISH </w:t>
      </w:r>
      <w:r w:rsidR="00D92523">
        <w:rPr>
          <w:lang w:val="en-US"/>
        </w:rPr>
        <w:t xml:space="preserve">High Level </w:t>
      </w:r>
      <w:r w:rsidR="00BF1B00">
        <w:rPr>
          <w:lang w:val="en-US"/>
        </w:rPr>
        <w:t>Group</w:t>
      </w:r>
      <w:r w:rsidR="0021446B" w:rsidRPr="0021446B">
        <w:rPr>
          <w:lang w:val="en-US"/>
        </w:rPr>
        <w:t xml:space="preserve"> </w:t>
      </w:r>
      <w:r>
        <w:rPr>
          <w:lang w:val="en-US"/>
        </w:rPr>
        <w:t>had a</w:t>
      </w:r>
      <w:r w:rsidR="004327BA">
        <w:rPr>
          <w:lang w:val="en-US"/>
        </w:rPr>
        <w:t>n</w:t>
      </w:r>
      <w:r>
        <w:rPr>
          <w:lang w:val="en-US"/>
        </w:rPr>
        <w:t xml:space="preserve"> exchange of view with </w:t>
      </w:r>
      <w:r w:rsidR="0021446B" w:rsidRPr="0021446B">
        <w:rPr>
          <w:lang w:val="en-US"/>
        </w:rPr>
        <w:t xml:space="preserve">the Baltic Sea Advisory Council (BSAC) </w:t>
      </w:r>
      <w:r>
        <w:rPr>
          <w:lang w:val="en-US"/>
        </w:rPr>
        <w:t xml:space="preserve">on the </w:t>
      </w:r>
      <w:r w:rsidR="004327BA">
        <w:rPr>
          <w:lang w:val="en-US"/>
        </w:rPr>
        <w:t xml:space="preserve">envisaged Joint Recommendation and the appropriate way forward </w:t>
      </w:r>
      <w:r w:rsidR="007D2DCF">
        <w:rPr>
          <w:lang w:val="en-US"/>
        </w:rPr>
        <w:t>o</w:t>
      </w:r>
      <w:r w:rsidR="0021446B">
        <w:rPr>
          <w:lang w:val="en-US"/>
        </w:rPr>
        <w:t xml:space="preserve">n </w:t>
      </w:r>
      <w:r w:rsidR="004327BA">
        <w:rPr>
          <w:lang w:val="en-US"/>
        </w:rPr>
        <w:t>26</w:t>
      </w:r>
      <w:r>
        <w:rPr>
          <w:lang w:val="en-US"/>
        </w:rPr>
        <w:t xml:space="preserve"> A</w:t>
      </w:r>
      <w:r w:rsidR="004327BA">
        <w:rPr>
          <w:lang w:val="en-US"/>
        </w:rPr>
        <w:t xml:space="preserve">pril </w:t>
      </w:r>
      <w:r w:rsidR="0021446B">
        <w:rPr>
          <w:lang w:val="en-US"/>
        </w:rPr>
        <w:t>201</w:t>
      </w:r>
      <w:r w:rsidR="004327BA">
        <w:rPr>
          <w:lang w:val="en-US"/>
        </w:rPr>
        <w:t>7</w:t>
      </w:r>
      <w:r w:rsidR="0021446B">
        <w:rPr>
          <w:lang w:val="en-US"/>
        </w:rPr>
        <w:t xml:space="preserve"> </w:t>
      </w:r>
      <w:r w:rsidR="0021446B" w:rsidRPr="0021446B">
        <w:rPr>
          <w:lang w:val="en-US"/>
        </w:rPr>
        <w:t xml:space="preserve">and </w:t>
      </w:r>
      <w:r>
        <w:rPr>
          <w:lang w:val="en-US"/>
        </w:rPr>
        <w:t xml:space="preserve">considered </w:t>
      </w:r>
      <w:r w:rsidR="0021446B" w:rsidRPr="0021446B">
        <w:rPr>
          <w:lang w:val="en-US"/>
        </w:rPr>
        <w:t xml:space="preserve">its </w:t>
      </w:r>
      <w:r>
        <w:rPr>
          <w:lang w:val="en-US"/>
        </w:rPr>
        <w:t xml:space="preserve">final </w:t>
      </w:r>
      <w:r w:rsidR="0021446B" w:rsidRPr="0021446B">
        <w:rPr>
          <w:lang w:val="en-US"/>
        </w:rPr>
        <w:t>advice</w:t>
      </w:r>
      <w:r>
        <w:rPr>
          <w:lang w:val="en-US"/>
        </w:rPr>
        <w:t xml:space="preserve"> adopted on </w:t>
      </w:r>
      <w:r w:rsidR="004327BA">
        <w:rPr>
          <w:lang w:val="en-US"/>
        </w:rPr>
        <w:t>…</w:t>
      </w:r>
      <w:r>
        <w:rPr>
          <w:lang w:val="en-US"/>
        </w:rPr>
        <w:t xml:space="preserve"> </w:t>
      </w:r>
      <w:r w:rsidR="004327BA">
        <w:rPr>
          <w:lang w:val="en-US"/>
        </w:rPr>
        <w:t xml:space="preserve">May </w:t>
      </w:r>
      <w:r>
        <w:rPr>
          <w:lang w:val="en-US"/>
        </w:rPr>
        <w:t>2017 in preparation of this document</w:t>
      </w:r>
      <w:r w:rsidR="0021446B" w:rsidRPr="0021446B">
        <w:rPr>
          <w:lang w:val="en-US"/>
        </w:rPr>
        <w:t>.</w:t>
      </w:r>
    </w:p>
    <w:p w:rsidR="00A83E04" w:rsidRDefault="00D92523" w:rsidP="00D92523">
      <w:pPr>
        <w:pStyle w:val="Rubrik1"/>
        <w:numPr>
          <w:ilvl w:val="0"/>
          <w:numId w:val="0"/>
        </w:numPr>
        <w:rPr>
          <w:lang w:val="en-US"/>
        </w:rPr>
      </w:pPr>
      <w:r>
        <w:rPr>
          <w:lang w:val="en-US"/>
        </w:rPr>
        <w:t>2.</w:t>
      </w:r>
      <w:r w:rsidR="003E2245">
        <w:rPr>
          <w:lang w:val="en-US"/>
        </w:rPr>
        <w:tab/>
      </w:r>
      <w:r w:rsidR="004327BA">
        <w:rPr>
          <w:lang w:val="en-US"/>
        </w:rPr>
        <w:t xml:space="preserve">Elements to be contained in the new Delegated Regulation </w:t>
      </w:r>
    </w:p>
    <w:p w:rsidR="004327BA" w:rsidRPr="004327BA" w:rsidRDefault="004327BA" w:rsidP="004327BA">
      <w:pPr>
        <w:rPr>
          <w:lang w:val="en-US"/>
        </w:rPr>
      </w:pPr>
      <w:r w:rsidRPr="004327BA">
        <w:rPr>
          <w:lang w:val="en-US"/>
        </w:rPr>
        <w:t>Article 7 of the Regulation (EU) 2016/1139 (then Multiannual Management Plan) lists the provisions linked to the landing obligation as follows:</w:t>
      </w:r>
    </w:p>
    <w:p w:rsidR="004327BA" w:rsidRPr="004327BA" w:rsidRDefault="004327BA" w:rsidP="00F46501">
      <w:pPr>
        <w:ind w:left="340" w:hanging="340"/>
        <w:rPr>
          <w:lang w:val="en-US"/>
        </w:rPr>
      </w:pPr>
      <w:r w:rsidRPr="004327BA">
        <w:rPr>
          <w:lang w:val="en-US"/>
        </w:rPr>
        <w:t>1.</w:t>
      </w:r>
      <w:r w:rsidR="00F46501">
        <w:rPr>
          <w:lang w:val="en-US"/>
        </w:rPr>
        <w:tab/>
      </w:r>
      <w:r w:rsidRPr="004327BA">
        <w:rPr>
          <w:lang w:val="en-US"/>
        </w:rPr>
        <w:t xml:space="preserve">Exemptions from the application of the landing obligation for species for which scientific evidence demonstrates high survival rates, taking into account the characteristics of the gear, of the fishing practices and of the ecosystem, to facilitate the implementation of the landing obligation; </w:t>
      </w:r>
    </w:p>
    <w:p w:rsidR="004327BA" w:rsidRPr="004327BA" w:rsidRDefault="004327BA" w:rsidP="00F46501">
      <w:pPr>
        <w:ind w:left="340" w:hanging="340"/>
        <w:rPr>
          <w:lang w:val="en-US"/>
        </w:rPr>
      </w:pPr>
      <w:r w:rsidRPr="004327BA">
        <w:rPr>
          <w:lang w:val="en-US"/>
        </w:rPr>
        <w:t>2.</w:t>
      </w:r>
      <w:r w:rsidR="00F46501">
        <w:rPr>
          <w:lang w:val="en-US"/>
        </w:rPr>
        <w:tab/>
      </w:r>
      <w:r w:rsidRPr="004327BA">
        <w:rPr>
          <w:lang w:val="en-US"/>
        </w:rPr>
        <w:t xml:space="preserve">De </w:t>
      </w:r>
      <w:proofErr w:type="spellStart"/>
      <w:r w:rsidRPr="004327BA">
        <w:rPr>
          <w:lang w:val="en-US"/>
        </w:rPr>
        <w:t>minimis</w:t>
      </w:r>
      <w:proofErr w:type="spellEnd"/>
      <w:r w:rsidRPr="004327BA">
        <w:rPr>
          <w:lang w:val="en-US"/>
        </w:rPr>
        <w:t xml:space="preserve"> exemptions to facilitate the implementation of the landing obligation; such de </w:t>
      </w:r>
      <w:proofErr w:type="spellStart"/>
      <w:r w:rsidRPr="004327BA">
        <w:rPr>
          <w:lang w:val="en-US"/>
        </w:rPr>
        <w:t>minimis</w:t>
      </w:r>
      <w:proofErr w:type="spellEnd"/>
      <w:r w:rsidRPr="004327BA">
        <w:rPr>
          <w:lang w:val="en-US"/>
        </w:rPr>
        <w:t xml:space="preserve"> exemptions shall be provided for cases referred to, and shall be in accordance with the conditions set out, in point (c) of Article 15(5) of Regulation (EU) No 1380/2013. </w:t>
      </w:r>
    </w:p>
    <w:p w:rsidR="004327BA" w:rsidRPr="004327BA" w:rsidRDefault="004327BA" w:rsidP="00F46501">
      <w:pPr>
        <w:ind w:left="340" w:hanging="340"/>
        <w:rPr>
          <w:lang w:val="en-US"/>
        </w:rPr>
      </w:pPr>
      <w:r w:rsidRPr="004327BA">
        <w:rPr>
          <w:lang w:val="en-US"/>
        </w:rPr>
        <w:t>3.</w:t>
      </w:r>
      <w:r w:rsidR="00F46501">
        <w:rPr>
          <w:lang w:val="en-US"/>
        </w:rPr>
        <w:tab/>
      </w:r>
      <w:r w:rsidRPr="004327BA">
        <w:rPr>
          <w:lang w:val="en-US"/>
        </w:rPr>
        <w:t xml:space="preserve">Specific provisions on documentation of catches, in particular for the purpose of monitoring the implementation of the landing obligation; and </w:t>
      </w:r>
    </w:p>
    <w:p w:rsidR="004327BA" w:rsidRDefault="004327BA" w:rsidP="00F46501">
      <w:pPr>
        <w:ind w:left="340" w:hanging="340"/>
        <w:rPr>
          <w:lang w:val="en-US"/>
        </w:rPr>
      </w:pPr>
      <w:r w:rsidRPr="004327BA">
        <w:rPr>
          <w:lang w:val="en-US"/>
        </w:rPr>
        <w:t>4.</w:t>
      </w:r>
      <w:r w:rsidR="00F46501">
        <w:rPr>
          <w:lang w:val="en-US"/>
        </w:rPr>
        <w:tab/>
      </w:r>
      <w:r w:rsidRPr="004327BA">
        <w:rPr>
          <w:lang w:val="en-US"/>
        </w:rPr>
        <w:t xml:space="preserve">The fixing of minimum conservation reference sizes, to ensure the protection of juveniles of marine organisms. </w:t>
      </w:r>
    </w:p>
    <w:p w:rsidR="00F46501" w:rsidRDefault="00F46501" w:rsidP="00F46501">
      <w:pPr>
        <w:ind w:left="340" w:hanging="340"/>
        <w:rPr>
          <w:lang w:val="en-US"/>
        </w:rPr>
      </w:pPr>
      <w:r>
        <w:rPr>
          <w:lang w:val="en-US"/>
        </w:rPr>
        <w:t>In accordance with these provisions, the HLG recommends the following:</w:t>
      </w:r>
    </w:p>
    <w:p w:rsidR="00F46501" w:rsidRPr="008E6B7F" w:rsidRDefault="00F46501" w:rsidP="00F46501">
      <w:pPr>
        <w:pStyle w:val="Underrubrik"/>
        <w:rPr>
          <w:b/>
          <w:bCs/>
          <w:iCs w:val="0"/>
          <w:color w:val="365F91" w:themeColor="accent1" w:themeShade="BF"/>
          <w:spacing w:val="0"/>
          <w:lang w:val="en-US"/>
        </w:rPr>
      </w:pPr>
      <w:r w:rsidRPr="008E6B7F">
        <w:rPr>
          <w:b/>
          <w:bCs/>
          <w:iCs w:val="0"/>
          <w:color w:val="365F91" w:themeColor="accent1" w:themeShade="BF"/>
          <w:spacing w:val="0"/>
          <w:lang w:val="en-US"/>
        </w:rPr>
        <w:lastRenderedPageBreak/>
        <w:t>2.1</w:t>
      </w:r>
      <w:r w:rsidRPr="008E6B7F">
        <w:rPr>
          <w:b/>
          <w:bCs/>
          <w:iCs w:val="0"/>
          <w:color w:val="365F91" w:themeColor="accent1" w:themeShade="BF"/>
          <w:spacing w:val="0"/>
          <w:lang w:val="en-US"/>
        </w:rPr>
        <w:tab/>
      </w:r>
      <w:r w:rsidRPr="008E6B7F">
        <w:rPr>
          <w:b/>
          <w:bCs/>
          <w:iCs w:val="0"/>
          <w:color w:val="365F91" w:themeColor="accent1" w:themeShade="BF"/>
          <w:spacing w:val="0"/>
          <w:lang w:val="en-US"/>
        </w:rPr>
        <w:tab/>
        <w:t>Survivability exemptions</w:t>
      </w:r>
    </w:p>
    <w:p w:rsidR="00F46501" w:rsidRPr="007D47F9" w:rsidRDefault="007D47F9" w:rsidP="007D47F9">
      <w:pPr>
        <w:rPr>
          <w:lang w:val="en-US"/>
        </w:rPr>
      </w:pPr>
      <w:r w:rsidRPr="007D47F9">
        <w:rPr>
          <w:lang w:val="en-US"/>
        </w:rPr>
        <w:t>By way of derogation from article 15(1) of Regulation (EU) No 1380/2013, the landing obligation shall not apply to cod</w:t>
      </w:r>
      <w:r w:rsidR="008E6B7F">
        <w:rPr>
          <w:lang w:val="en-US"/>
        </w:rPr>
        <w:t>,</w:t>
      </w:r>
      <w:r w:rsidRPr="007D47F9">
        <w:rPr>
          <w:lang w:val="en-US"/>
        </w:rPr>
        <w:t xml:space="preserve"> salmon </w:t>
      </w:r>
      <w:r w:rsidR="008E6B7F" w:rsidRPr="007D47F9">
        <w:rPr>
          <w:lang w:val="en-US"/>
        </w:rPr>
        <w:t xml:space="preserve">and </w:t>
      </w:r>
      <w:r w:rsidR="008E6B7F" w:rsidRPr="008E6B7F">
        <w:rPr>
          <w:b/>
          <w:lang w:val="en-US"/>
        </w:rPr>
        <w:t>plaice</w:t>
      </w:r>
      <w:r w:rsidR="008E6B7F">
        <w:rPr>
          <w:lang w:val="en-US"/>
        </w:rPr>
        <w:t xml:space="preserve"> </w:t>
      </w:r>
      <w:r w:rsidRPr="007D47F9">
        <w:rPr>
          <w:lang w:val="en-US"/>
        </w:rPr>
        <w:t xml:space="preserve">caught with trap-nets, creels/pots, </w:t>
      </w:r>
      <w:proofErr w:type="spellStart"/>
      <w:r w:rsidRPr="007D47F9">
        <w:rPr>
          <w:lang w:val="en-US"/>
        </w:rPr>
        <w:t>fyke</w:t>
      </w:r>
      <w:proofErr w:type="spellEnd"/>
      <w:r w:rsidRPr="007D47F9">
        <w:rPr>
          <w:lang w:val="en-US"/>
        </w:rPr>
        <w:t>-nets and pound nets. All such cod and salmon may be released back into the sea.</w:t>
      </w:r>
    </w:p>
    <w:p w:rsidR="00F46501" w:rsidRPr="008E6B7F" w:rsidRDefault="00F46501" w:rsidP="00F46501">
      <w:pPr>
        <w:pStyle w:val="Underrubrik"/>
        <w:rPr>
          <w:b/>
          <w:bCs/>
          <w:iCs w:val="0"/>
          <w:color w:val="365F91" w:themeColor="accent1" w:themeShade="BF"/>
          <w:spacing w:val="0"/>
          <w:lang w:val="en-US"/>
        </w:rPr>
      </w:pPr>
      <w:r w:rsidRPr="008E6B7F">
        <w:rPr>
          <w:b/>
          <w:bCs/>
          <w:iCs w:val="0"/>
          <w:color w:val="365F91" w:themeColor="accent1" w:themeShade="BF"/>
          <w:spacing w:val="0"/>
          <w:lang w:val="en-US"/>
        </w:rPr>
        <w:t>2.2</w:t>
      </w:r>
      <w:r w:rsidRPr="008E6B7F">
        <w:rPr>
          <w:b/>
          <w:bCs/>
          <w:iCs w:val="0"/>
          <w:color w:val="365F91" w:themeColor="accent1" w:themeShade="BF"/>
          <w:spacing w:val="0"/>
          <w:lang w:val="en-US"/>
        </w:rPr>
        <w:tab/>
      </w:r>
      <w:r w:rsidRPr="008E6B7F">
        <w:rPr>
          <w:b/>
          <w:bCs/>
          <w:iCs w:val="0"/>
          <w:color w:val="365F91" w:themeColor="accent1" w:themeShade="BF"/>
          <w:spacing w:val="0"/>
          <w:lang w:val="en-US"/>
        </w:rPr>
        <w:tab/>
      </w:r>
      <w:r w:rsidRPr="008E6B7F">
        <w:rPr>
          <w:b/>
          <w:bCs/>
          <w:i/>
          <w:iCs w:val="0"/>
          <w:color w:val="365F91" w:themeColor="accent1" w:themeShade="BF"/>
          <w:spacing w:val="0"/>
          <w:lang w:val="en-US"/>
        </w:rPr>
        <w:t xml:space="preserve">De </w:t>
      </w:r>
      <w:proofErr w:type="spellStart"/>
      <w:r w:rsidRPr="008E6B7F">
        <w:rPr>
          <w:b/>
          <w:bCs/>
          <w:i/>
          <w:iCs w:val="0"/>
          <w:color w:val="365F91" w:themeColor="accent1" w:themeShade="BF"/>
          <w:spacing w:val="0"/>
          <w:lang w:val="en-US"/>
        </w:rPr>
        <w:t>minimis</w:t>
      </w:r>
      <w:proofErr w:type="spellEnd"/>
      <w:r w:rsidRPr="008E6B7F">
        <w:rPr>
          <w:b/>
          <w:bCs/>
          <w:iCs w:val="0"/>
          <w:color w:val="365F91" w:themeColor="accent1" w:themeShade="BF"/>
          <w:spacing w:val="0"/>
          <w:lang w:val="en-US"/>
        </w:rPr>
        <w:t xml:space="preserve"> exemptions</w:t>
      </w:r>
    </w:p>
    <w:p w:rsidR="00F46501" w:rsidRPr="007D47F9" w:rsidRDefault="007D47F9" w:rsidP="007D47F9">
      <w:pPr>
        <w:rPr>
          <w:lang w:val="en-US"/>
        </w:rPr>
      </w:pPr>
      <w:r w:rsidRPr="007D47F9">
        <w:rPr>
          <w:lang w:val="en-US"/>
        </w:rPr>
        <w:t xml:space="preserve">The joint recommendation of 27 May 2014 deals with the </w:t>
      </w:r>
      <w:r w:rsidRPr="008E6B7F">
        <w:rPr>
          <w:i/>
          <w:lang w:val="en-US"/>
        </w:rPr>
        <w:t xml:space="preserve">de </w:t>
      </w:r>
      <w:proofErr w:type="spellStart"/>
      <w:r w:rsidRPr="008E6B7F">
        <w:rPr>
          <w:i/>
          <w:lang w:val="en-US"/>
        </w:rPr>
        <w:t>minimis</w:t>
      </w:r>
      <w:proofErr w:type="spellEnd"/>
      <w:r w:rsidRPr="007D47F9">
        <w:rPr>
          <w:lang w:val="en-US"/>
        </w:rPr>
        <w:t xml:space="preserve"> options. At that stage, BALTFISH recommended not to apply the </w:t>
      </w:r>
      <w:r w:rsidRPr="008E6B7F">
        <w:rPr>
          <w:i/>
          <w:lang w:val="en-US"/>
        </w:rPr>
        <w:t xml:space="preserve">de </w:t>
      </w:r>
      <w:proofErr w:type="spellStart"/>
      <w:r w:rsidRPr="008E6B7F">
        <w:rPr>
          <w:i/>
          <w:lang w:val="en-US"/>
        </w:rPr>
        <w:t>minimis</w:t>
      </w:r>
      <w:proofErr w:type="spellEnd"/>
      <w:r w:rsidRPr="007D47F9">
        <w:rPr>
          <w:lang w:val="en-US"/>
        </w:rPr>
        <w:t xml:space="preserve"> rules in the Baltic Sea and instead recommended that fish damaged by predators should not count against the quota. This provision is now reflected in Article 15 (4) (d) of Regulation (EU) 1380/2013.</w:t>
      </w:r>
      <w:r w:rsidR="008E6B7F">
        <w:rPr>
          <w:lang w:val="en-US"/>
        </w:rPr>
        <w:t xml:space="preserve"> </w:t>
      </w:r>
      <w:r w:rsidR="008E6B7F" w:rsidRPr="008E6B7F">
        <w:rPr>
          <w:b/>
          <w:lang w:val="en-US"/>
        </w:rPr>
        <w:t xml:space="preserve">However, as selectivity in fisheries conducted with static gear cannot be further improved, the HLG recommends a </w:t>
      </w:r>
      <w:r w:rsidR="008E6B7F" w:rsidRPr="008E6B7F">
        <w:rPr>
          <w:b/>
          <w:i/>
          <w:lang w:val="en-US"/>
        </w:rPr>
        <w:t xml:space="preserve">de </w:t>
      </w:r>
      <w:proofErr w:type="spellStart"/>
      <w:r w:rsidR="008E6B7F" w:rsidRPr="008E6B7F">
        <w:rPr>
          <w:b/>
          <w:i/>
          <w:lang w:val="en-US"/>
        </w:rPr>
        <w:t>minimis</w:t>
      </w:r>
      <w:proofErr w:type="spellEnd"/>
      <w:r w:rsidR="008E6B7F" w:rsidRPr="008E6B7F">
        <w:rPr>
          <w:b/>
          <w:lang w:val="en-US"/>
        </w:rPr>
        <w:t xml:space="preserve"> exemption of 5 % for these fisheries.</w:t>
      </w:r>
    </w:p>
    <w:p w:rsidR="00F46501" w:rsidRPr="007D47F9" w:rsidRDefault="00F46501" w:rsidP="00F46501">
      <w:pPr>
        <w:pStyle w:val="Underrubrik"/>
        <w:rPr>
          <w:b/>
          <w:bCs/>
          <w:iCs w:val="0"/>
          <w:color w:val="365F91" w:themeColor="accent1" w:themeShade="BF"/>
          <w:spacing w:val="0"/>
          <w:lang w:val="en-US"/>
        </w:rPr>
      </w:pPr>
      <w:r w:rsidRPr="007D47F9">
        <w:rPr>
          <w:b/>
          <w:bCs/>
          <w:iCs w:val="0"/>
          <w:color w:val="365F91" w:themeColor="accent1" w:themeShade="BF"/>
          <w:spacing w:val="0"/>
          <w:lang w:val="en-US"/>
        </w:rPr>
        <w:t>2.</w:t>
      </w:r>
      <w:r w:rsidR="007D47F9" w:rsidRPr="007D47F9">
        <w:rPr>
          <w:b/>
          <w:bCs/>
          <w:iCs w:val="0"/>
          <w:color w:val="365F91" w:themeColor="accent1" w:themeShade="BF"/>
          <w:spacing w:val="0"/>
          <w:lang w:val="en-US"/>
        </w:rPr>
        <w:t>3</w:t>
      </w:r>
      <w:r w:rsidRPr="007D47F9">
        <w:rPr>
          <w:b/>
          <w:bCs/>
          <w:iCs w:val="0"/>
          <w:color w:val="365F91" w:themeColor="accent1" w:themeShade="BF"/>
          <w:spacing w:val="0"/>
          <w:lang w:val="en-US"/>
        </w:rPr>
        <w:tab/>
      </w:r>
      <w:r w:rsidRPr="007D47F9">
        <w:rPr>
          <w:b/>
          <w:bCs/>
          <w:iCs w:val="0"/>
          <w:color w:val="365F91" w:themeColor="accent1" w:themeShade="BF"/>
          <w:spacing w:val="0"/>
          <w:lang w:val="en-US"/>
        </w:rPr>
        <w:tab/>
        <w:t>Documentation</w:t>
      </w:r>
    </w:p>
    <w:p w:rsidR="007D47F9" w:rsidRPr="0078741F" w:rsidRDefault="007D47F9" w:rsidP="007D47F9">
      <w:pPr>
        <w:rPr>
          <w:lang w:val="en-US"/>
        </w:rPr>
      </w:pPr>
      <w:r w:rsidRPr="0078741F">
        <w:rPr>
          <w:lang w:val="en-US"/>
        </w:rPr>
        <w:t>The current control rules in place are contained in Regulation (EU) 1224/2009 and the implementing Regulation (EU) 2013/395 on control in the Baltic Sea.</w:t>
      </w:r>
    </w:p>
    <w:p w:rsidR="00F46501" w:rsidRPr="007D47F9" w:rsidRDefault="00F46501" w:rsidP="00F46501">
      <w:pPr>
        <w:pStyle w:val="Underrubrik"/>
        <w:rPr>
          <w:b/>
          <w:bCs/>
          <w:iCs w:val="0"/>
          <w:color w:val="365F91" w:themeColor="accent1" w:themeShade="BF"/>
          <w:spacing w:val="0"/>
          <w:lang w:val="en-US"/>
        </w:rPr>
      </w:pPr>
      <w:r w:rsidRPr="007D47F9">
        <w:rPr>
          <w:b/>
          <w:bCs/>
          <w:iCs w:val="0"/>
          <w:color w:val="365F91" w:themeColor="accent1" w:themeShade="BF"/>
          <w:spacing w:val="0"/>
          <w:lang w:val="en-US"/>
        </w:rPr>
        <w:t>2.</w:t>
      </w:r>
      <w:r w:rsidR="007D47F9" w:rsidRPr="007D47F9">
        <w:rPr>
          <w:b/>
          <w:bCs/>
          <w:iCs w:val="0"/>
          <w:color w:val="365F91" w:themeColor="accent1" w:themeShade="BF"/>
          <w:spacing w:val="0"/>
          <w:lang w:val="en-US"/>
        </w:rPr>
        <w:t>4</w:t>
      </w:r>
      <w:r w:rsidRPr="007D47F9">
        <w:rPr>
          <w:b/>
          <w:bCs/>
          <w:iCs w:val="0"/>
          <w:color w:val="365F91" w:themeColor="accent1" w:themeShade="BF"/>
          <w:spacing w:val="0"/>
          <w:lang w:val="en-US"/>
        </w:rPr>
        <w:tab/>
      </w:r>
      <w:r w:rsidRPr="007D47F9">
        <w:rPr>
          <w:b/>
          <w:bCs/>
          <w:iCs w:val="0"/>
          <w:color w:val="365F91" w:themeColor="accent1" w:themeShade="BF"/>
          <w:spacing w:val="0"/>
          <w:lang w:val="en-US"/>
        </w:rPr>
        <w:tab/>
        <w:t>Minimum Conservation Reference Sizes</w:t>
      </w:r>
    </w:p>
    <w:p w:rsidR="00F46501" w:rsidRPr="007D47F9" w:rsidRDefault="007D47F9" w:rsidP="007D47F9">
      <w:pPr>
        <w:rPr>
          <w:lang w:val="en-US"/>
        </w:rPr>
      </w:pPr>
      <w:r w:rsidRPr="007D47F9">
        <w:rPr>
          <w:lang w:val="en-US"/>
        </w:rPr>
        <w:t>The minimum conservation reference size for cod in the Baltic Sea shall be 35 cm.</w:t>
      </w:r>
    </w:p>
    <w:p w:rsidR="003E2245" w:rsidRDefault="007D47F9" w:rsidP="007D47F9">
      <w:pPr>
        <w:pStyle w:val="Rubrik1"/>
        <w:numPr>
          <w:ilvl w:val="0"/>
          <w:numId w:val="43"/>
        </w:numPr>
        <w:rPr>
          <w:lang w:val="en-US"/>
        </w:rPr>
      </w:pPr>
      <w:r>
        <w:rPr>
          <w:lang w:val="en-US"/>
        </w:rPr>
        <w:t xml:space="preserve">Scientific Evidence for exemptions </w:t>
      </w:r>
    </w:p>
    <w:p w:rsidR="007D47F9" w:rsidRPr="007D47F9" w:rsidRDefault="007D47F9" w:rsidP="007D47F9">
      <w:pPr>
        <w:rPr>
          <w:lang w:val="en-US"/>
        </w:rPr>
      </w:pPr>
      <w:r w:rsidRPr="007D47F9">
        <w:rPr>
          <w:lang w:val="en-US"/>
        </w:rPr>
        <w:t xml:space="preserve">Scientific evidence for justifying exemptions for both salmon and cod was provided in the Joint Recommendation of 27 May 2014 on the </w:t>
      </w:r>
      <w:r>
        <w:rPr>
          <w:lang w:val="en-US"/>
        </w:rPr>
        <w:t>o</w:t>
      </w:r>
      <w:r w:rsidRPr="007D47F9">
        <w:rPr>
          <w:lang w:val="en-US"/>
        </w:rPr>
        <w:t>utline of a Discard Plan for the Baltic Sea in annex 2 and 3 respectively. The scientific evidence is still valid for both stocks.</w:t>
      </w:r>
    </w:p>
    <w:sectPr w:rsidR="007D47F9" w:rsidRPr="007D47F9" w:rsidSect="00031A26">
      <w:headerReference w:type="even" r:id="rId9"/>
      <w:headerReference w:type="default" r:id="rId10"/>
      <w:headerReference w:type="first" r:id="rId11"/>
      <w:footerReference w:type="first" r:id="rId12"/>
      <w:pgSz w:w="11906" w:h="16838" w:code="9"/>
      <w:pgMar w:top="1418" w:right="1418"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1FD0" w:rsidRDefault="00ED1FD0">
      <w:pPr>
        <w:spacing w:line="240" w:lineRule="auto"/>
      </w:pPr>
      <w:r>
        <w:separator/>
      </w:r>
    </w:p>
  </w:endnote>
  <w:endnote w:type="continuationSeparator" w:id="0">
    <w:p w:rsidR="00ED1FD0" w:rsidRDefault="00ED1FD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1E18" w:rsidRPr="00B71BDE" w:rsidRDefault="00551E18" w:rsidP="00E17929">
    <w:pPr>
      <w:tabs>
        <w:tab w:val="left" w:pos="5053"/>
        <w:tab w:val="left" w:pos="6358"/>
        <w:tab w:val="left" w:pos="10049"/>
      </w:tabs>
      <w:spacing w:line="180" w:lineRule="exact"/>
      <w:rPr>
        <w:rFonts w:ascii="Arial Narrow" w:hAnsi="Arial Narrow"/>
        <w:noProof/>
        <w:vanish/>
        <w:sz w:val="14"/>
        <w:lang w:val="en-US"/>
      </w:rPr>
    </w:pPr>
    <w:r>
      <w:rPr>
        <w:rFonts w:ascii="Arial Narrow" w:hAnsi="Arial Narrow"/>
        <w:vanish/>
        <w:sz w:val="14"/>
      </w:rPr>
      <w:fldChar w:fldCharType="begin"/>
    </w:r>
    <w:r w:rsidRPr="00B71BDE">
      <w:rPr>
        <w:rFonts w:ascii="Arial Narrow" w:hAnsi="Arial Narrow"/>
        <w:vanish/>
        <w:sz w:val="14"/>
        <w:lang w:val="en-US"/>
      </w:rPr>
      <w:instrText xml:space="preserve"> FILENAME \p </w:instrText>
    </w:r>
    <w:r>
      <w:rPr>
        <w:rFonts w:ascii="Arial Narrow" w:hAnsi="Arial Narrow"/>
        <w:vanish/>
        <w:sz w:val="14"/>
      </w:rPr>
      <w:fldChar w:fldCharType="separate"/>
    </w:r>
    <w:r w:rsidR="00677E34">
      <w:rPr>
        <w:rFonts w:ascii="Arial Narrow" w:hAnsi="Arial Narrow"/>
        <w:noProof/>
        <w:vanish/>
        <w:sz w:val="14"/>
        <w:lang w:val="en-US"/>
      </w:rPr>
      <w:t>C:\Users\DuebnerW\AppData\Local\Microsoft\Windows\Temporary Internet Files\Content.Outlook\X8MWYQJ0\JR Landing obligation - draft.docx</w:t>
    </w:r>
    <w:r>
      <w:rPr>
        <w:rFonts w:ascii="Arial Narrow" w:hAnsi="Arial Narrow"/>
        <w:vanish/>
        <w:sz w:val="1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1FD0" w:rsidRDefault="00ED1FD0">
      <w:pPr>
        <w:spacing w:line="240" w:lineRule="auto"/>
      </w:pPr>
      <w:r>
        <w:separator/>
      </w:r>
    </w:p>
  </w:footnote>
  <w:footnote w:type="continuationSeparator" w:id="0">
    <w:p w:rsidR="00ED1FD0" w:rsidRDefault="00ED1FD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1E18" w:rsidRDefault="00ED1FD0">
    <w:pPr>
      <w:pStyle w:val="Sidhuvud"/>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260764" o:spid="_x0000_s2050" type="#_x0000_t136" style="position:absolute;margin-left:0;margin-top:0;width:456.7pt;height:182.65pt;rotation:315;z-index:-251655168;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1E18" w:rsidRPr="006416F7" w:rsidRDefault="00ED1FD0" w:rsidP="006416F7">
    <w:pPr>
      <w:pStyle w:val="Sidhuvud"/>
      <w:jc w:val="right"/>
      <w:rPr>
        <w:rFonts w:ascii="Arial Narrow" w:hAnsi="Arial Narrow"/>
        <w:sz w:val="13"/>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260765" o:spid="_x0000_s2051" type="#_x0000_t136" style="position:absolute;left:0;text-align:left;margin-left:0;margin-top:0;width:456.7pt;height:182.65pt;rotation:315;z-index:-251653120;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r w:rsidR="00551E18" w:rsidRPr="006416F7">
      <w:rPr>
        <w:rFonts w:ascii="Arial Narrow" w:hAnsi="Arial Narrow"/>
        <w:sz w:val="13"/>
      </w:rPr>
      <w:t xml:space="preserve">SEITE </w:t>
    </w:r>
    <w:r w:rsidR="00551E18" w:rsidRPr="006416F7">
      <w:rPr>
        <w:rFonts w:ascii="Arial Narrow" w:hAnsi="Arial Narrow"/>
        <w:sz w:val="13"/>
      </w:rPr>
      <w:fldChar w:fldCharType="begin"/>
    </w:r>
    <w:r w:rsidR="00551E18" w:rsidRPr="006416F7">
      <w:rPr>
        <w:rFonts w:ascii="Arial Narrow" w:hAnsi="Arial Narrow"/>
        <w:sz w:val="13"/>
      </w:rPr>
      <w:instrText xml:space="preserve"> PAGE  \* MERGEFORMAT </w:instrText>
    </w:r>
    <w:r w:rsidR="00551E18" w:rsidRPr="006416F7">
      <w:rPr>
        <w:rFonts w:ascii="Arial Narrow" w:hAnsi="Arial Narrow"/>
        <w:sz w:val="13"/>
      </w:rPr>
      <w:fldChar w:fldCharType="separate"/>
    </w:r>
    <w:r w:rsidR="00AE5EE5">
      <w:rPr>
        <w:rFonts w:ascii="Arial Narrow" w:hAnsi="Arial Narrow"/>
        <w:noProof/>
        <w:sz w:val="13"/>
      </w:rPr>
      <w:t>2</w:t>
    </w:r>
    <w:r w:rsidR="00551E18" w:rsidRPr="006416F7">
      <w:rPr>
        <w:rFonts w:ascii="Arial Narrow" w:hAnsi="Arial Narrow"/>
        <w:sz w:val="13"/>
      </w:rPr>
      <w:fldChar w:fldCharType="end"/>
    </w:r>
    <w:r w:rsidR="00551E18" w:rsidRPr="006416F7">
      <w:rPr>
        <w:rFonts w:ascii="Arial Narrow" w:hAnsi="Arial Narrow"/>
        <w:sz w:val="13"/>
      </w:rPr>
      <w:t xml:space="preserve"> VON </w:t>
    </w:r>
    <w:r w:rsidR="00551E18" w:rsidRPr="006416F7">
      <w:rPr>
        <w:rFonts w:ascii="Arial Narrow" w:hAnsi="Arial Narrow"/>
        <w:sz w:val="13"/>
      </w:rPr>
      <w:fldChar w:fldCharType="begin"/>
    </w:r>
    <w:r w:rsidR="00551E18" w:rsidRPr="006416F7">
      <w:rPr>
        <w:rFonts w:ascii="Arial Narrow" w:hAnsi="Arial Narrow"/>
        <w:sz w:val="13"/>
      </w:rPr>
      <w:instrText xml:space="preserve"> NUMPAGES  \* MERGEFORMAT </w:instrText>
    </w:r>
    <w:r w:rsidR="00551E18" w:rsidRPr="006416F7">
      <w:rPr>
        <w:rFonts w:ascii="Arial Narrow" w:hAnsi="Arial Narrow"/>
        <w:sz w:val="13"/>
      </w:rPr>
      <w:fldChar w:fldCharType="separate"/>
    </w:r>
    <w:r w:rsidR="00AE5EE5">
      <w:rPr>
        <w:rFonts w:ascii="Arial Narrow" w:hAnsi="Arial Narrow"/>
        <w:noProof/>
        <w:sz w:val="13"/>
      </w:rPr>
      <w:t>3</w:t>
    </w:r>
    <w:r w:rsidR="00551E18" w:rsidRPr="006416F7">
      <w:rPr>
        <w:rFonts w:ascii="Arial Narrow" w:hAnsi="Arial Narrow"/>
        <w:sz w:val="13"/>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4776" w:rsidRPr="007A4776" w:rsidRDefault="00ED1FD0" w:rsidP="007A4776">
    <w:pPr>
      <w:pStyle w:val="Sidhuvud"/>
      <w:jc w:val="center"/>
      <w:rPr>
        <w:b/>
        <w:i/>
        <w:u w:val="single"/>
      </w:rPr>
    </w:pPr>
    <w:r>
      <w:rPr>
        <w:b/>
        <w:i/>
        <w:noProof/>
        <w:u w:val="single"/>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260763" o:spid="_x0000_s2049" type="#_x0000_t136" style="position:absolute;left:0;text-align:left;margin-left:0;margin-top:0;width:456.7pt;height:182.65pt;rotation:315;z-index:-251657216;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r w:rsidR="00294618">
      <w:rPr>
        <w:b/>
        <w:i/>
        <w:u w:val="single"/>
      </w:rPr>
      <w:t>1</w:t>
    </w:r>
    <w:r w:rsidR="00294618" w:rsidRPr="00294618">
      <w:rPr>
        <w:b/>
        <w:i/>
        <w:u w:val="single"/>
        <w:vertAlign w:val="superscript"/>
      </w:rPr>
      <w:t>st</w:t>
    </w:r>
    <w:r w:rsidR="00294618">
      <w:rPr>
        <w:b/>
        <w:i/>
        <w:u w:val="single"/>
      </w:rPr>
      <w:t xml:space="preserve"> </w:t>
    </w:r>
    <w:r w:rsidR="00353491">
      <w:rPr>
        <w:b/>
        <w:i/>
        <w:u w:val="single"/>
        <w:vertAlign w:val="superscript"/>
      </w:rPr>
      <w:t xml:space="preserve"> </w:t>
    </w:r>
    <w:proofErr w:type="spellStart"/>
    <w:r w:rsidR="007A4776" w:rsidRPr="007A4776">
      <w:rPr>
        <w:b/>
        <w:i/>
        <w:u w:val="single"/>
      </w:rPr>
      <w:t>Draft</w:t>
    </w:r>
    <w:proofErr w:type="spellEnd"/>
    <w:r w:rsidR="007A4776" w:rsidRPr="007A4776">
      <w:rPr>
        <w:b/>
        <w:i/>
        <w:u w:val="single"/>
      </w:rPr>
      <w:t xml:space="preserve"> </w:t>
    </w:r>
    <w:r w:rsidR="008E6B7F">
      <w:rPr>
        <w:b/>
        <w:i/>
        <w:u w:val="single"/>
      </w:rPr>
      <w:t>27 March</w:t>
    </w:r>
    <w:r w:rsidR="00353491">
      <w:rPr>
        <w:b/>
        <w:i/>
        <w:u w:val="single"/>
      </w:rPr>
      <w:t xml:space="preserve"> </w:t>
    </w:r>
    <w:r w:rsidR="007A4776" w:rsidRPr="007A4776">
      <w:rPr>
        <w:b/>
        <w:i/>
        <w:u w:val="single"/>
      </w:rPr>
      <w:t>201</w:t>
    </w:r>
    <w:r w:rsidR="00353491">
      <w:rPr>
        <w:b/>
        <w:i/>
        <w:u w:val="single"/>
      </w:rPr>
      <w:t>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33D48"/>
    <w:multiLevelType w:val="hybridMultilevel"/>
    <w:tmpl w:val="046615F2"/>
    <w:lvl w:ilvl="0" w:tplc="8584BE24">
      <w:start w:val="1"/>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159C28AE"/>
    <w:multiLevelType w:val="hybridMultilevel"/>
    <w:tmpl w:val="C818CF84"/>
    <w:lvl w:ilvl="0" w:tplc="F52C4786">
      <w:start w:val="1"/>
      <w:numFmt w:val="upperRoman"/>
      <w:pStyle w:val="Rubrik1"/>
      <w:lvlText w:val="%1."/>
      <w:lvlJc w:val="righ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1AA27260"/>
    <w:multiLevelType w:val="hybridMultilevel"/>
    <w:tmpl w:val="2434431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nsid w:val="21433A16"/>
    <w:multiLevelType w:val="hybridMultilevel"/>
    <w:tmpl w:val="195075A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21E86CEA"/>
    <w:multiLevelType w:val="hybridMultilevel"/>
    <w:tmpl w:val="32FC47D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23470076"/>
    <w:multiLevelType w:val="hybridMultilevel"/>
    <w:tmpl w:val="78A8209C"/>
    <w:lvl w:ilvl="0" w:tplc="0407000F">
      <w:start w:val="5"/>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6">
    <w:nsid w:val="2726173B"/>
    <w:multiLevelType w:val="hybridMultilevel"/>
    <w:tmpl w:val="1DA6E30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nsid w:val="278E1DFC"/>
    <w:multiLevelType w:val="hybridMultilevel"/>
    <w:tmpl w:val="C22EF3D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nsid w:val="2A412F7C"/>
    <w:multiLevelType w:val="hybridMultilevel"/>
    <w:tmpl w:val="C28CEF0C"/>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9">
    <w:nsid w:val="2AEC48C9"/>
    <w:multiLevelType w:val="hybridMultilevel"/>
    <w:tmpl w:val="08B20C3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
    <w:nsid w:val="2C88293F"/>
    <w:multiLevelType w:val="hybridMultilevel"/>
    <w:tmpl w:val="A3021DF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nsid w:val="2D19510C"/>
    <w:multiLevelType w:val="hybridMultilevel"/>
    <w:tmpl w:val="E28EDC1A"/>
    <w:lvl w:ilvl="0" w:tplc="0407000B">
      <w:start w:val="1"/>
      <w:numFmt w:val="bullet"/>
      <w:lvlText w:val=""/>
      <w:lvlJc w:val="left"/>
      <w:pPr>
        <w:ind w:left="774" w:hanging="360"/>
      </w:pPr>
      <w:rPr>
        <w:rFonts w:ascii="Wingdings" w:hAnsi="Wingdings" w:hint="default"/>
      </w:rPr>
    </w:lvl>
    <w:lvl w:ilvl="1" w:tplc="04070003">
      <w:start w:val="1"/>
      <w:numFmt w:val="bullet"/>
      <w:lvlText w:val="o"/>
      <w:lvlJc w:val="left"/>
      <w:pPr>
        <w:ind w:left="1494" w:hanging="360"/>
      </w:pPr>
      <w:rPr>
        <w:rFonts w:ascii="Courier New" w:hAnsi="Courier New" w:cs="Courier New" w:hint="default"/>
      </w:rPr>
    </w:lvl>
    <w:lvl w:ilvl="2" w:tplc="04070005" w:tentative="1">
      <w:start w:val="1"/>
      <w:numFmt w:val="bullet"/>
      <w:lvlText w:val=""/>
      <w:lvlJc w:val="left"/>
      <w:pPr>
        <w:ind w:left="2214" w:hanging="360"/>
      </w:pPr>
      <w:rPr>
        <w:rFonts w:ascii="Wingdings" w:hAnsi="Wingdings" w:hint="default"/>
      </w:rPr>
    </w:lvl>
    <w:lvl w:ilvl="3" w:tplc="04070001" w:tentative="1">
      <w:start w:val="1"/>
      <w:numFmt w:val="bullet"/>
      <w:lvlText w:val=""/>
      <w:lvlJc w:val="left"/>
      <w:pPr>
        <w:ind w:left="2934" w:hanging="360"/>
      </w:pPr>
      <w:rPr>
        <w:rFonts w:ascii="Symbol" w:hAnsi="Symbol" w:hint="default"/>
      </w:rPr>
    </w:lvl>
    <w:lvl w:ilvl="4" w:tplc="04070003" w:tentative="1">
      <w:start w:val="1"/>
      <w:numFmt w:val="bullet"/>
      <w:lvlText w:val="o"/>
      <w:lvlJc w:val="left"/>
      <w:pPr>
        <w:ind w:left="3654" w:hanging="360"/>
      </w:pPr>
      <w:rPr>
        <w:rFonts w:ascii="Courier New" w:hAnsi="Courier New" w:cs="Courier New" w:hint="default"/>
      </w:rPr>
    </w:lvl>
    <w:lvl w:ilvl="5" w:tplc="04070005" w:tentative="1">
      <w:start w:val="1"/>
      <w:numFmt w:val="bullet"/>
      <w:lvlText w:val=""/>
      <w:lvlJc w:val="left"/>
      <w:pPr>
        <w:ind w:left="4374" w:hanging="360"/>
      </w:pPr>
      <w:rPr>
        <w:rFonts w:ascii="Wingdings" w:hAnsi="Wingdings" w:hint="default"/>
      </w:rPr>
    </w:lvl>
    <w:lvl w:ilvl="6" w:tplc="04070001" w:tentative="1">
      <w:start w:val="1"/>
      <w:numFmt w:val="bullet"/>
      <w:lvlText w:val=""/>
      <w:lvlJc w:val="left"/>
      <w:pPr>
        <w:ind w:left="5094" w:hanging="360"/>
      </w:pPr>
      <w:rPr>
        <w:rFonts w:ascii="Symbol" w:hAnsi="Symbol" w:hint="default"/>
      </w:rPr>
    </w:lvl>
    <w:lvl w:ilvl="7" w:tplc="04070003" w:tentative="1">
      <w:start w:val="1"/>
      <w:numFmt w:val="bullet"/>
      <w:lvlText w:val="o"/>
      <w:lvlJc w:val="left"/>
      <w:pPr>
        <w:ind w:left="5814" w:hanging="360"/>
      </w:pPr>
      <w:rPr>
        <w:rFonts w:ascii="Courier New" w:hAnsi="Courier New" w:cs="Courier New" w:hint="default"/>
      </w:rPr>
    </w:lvl>
    <w:lvl w:ilvl="8" w:tplc="04070005" w:tentative="1">
      <w:start w:val="1"/>
      <w:numFmt w:val="bullet"/>
      <w:lvlText w:val=""/>
      <w:lvlJc w:val="left"/>
      <w:pPr>
        <w:ind w:left="6534" w:hanging="360"/>
      </w:pPr>
      <w:rPr>
        <w:rFonts w:ascii="Wingdings" w:hAnsi="Wingdings" w:hint="default"/>
      </w:rPr>
    </w:lvl>
  </w:abstractNum>
  <w:abstractNum w:abstractNumId="12">
    <w:nsid w:val="2E8138A1"/>
    <w:multiLevelType w:val="hybridMultilevel"/>
    <w:tmpl w:val="A2F07000"/>
    <w:lvl w:ilvl="0" w:tplc="0407000F">
      <w:start w:val="4"/>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nsid w:val="3646665F"/>
    <w:multiLevelType w:val="hybridMultilevel"/>
    <w:tmpl w:val="742AFE12"/>
    <w:lvl w:ilvl="0" w:tplc="33303688">
      <w:start w:val="3"/>
      <w:numFmt w:val="bullet"/>
      <w:lvlText w:val="-"/>
      <w:lvlJc w:val="left"/>
      <w:pPr>
        <w:ind w:left="1040" w:hanging="360"/>
      </w:pPr>
      <w:rPr>
        <w:rFonts w:ascii="Cambria" w:eastAsiaTheme="minorHAnsi" w:hAnsi="Cambria" w:cstheme="minorBidi" w:hint="default"/>
      </w:rPr>
    </w:lvl>
    <w:lvl w:ilvl="1" w:tplc="04070003" w:tentative="1">
      <w:start w:val="1"/>
      <w:numFmt w:val="bullet"/>
      <w:lvlText w:val="o"/>
      <w:lvlJc w:val="left"/>
      <w:pPr>
        <w:ind w:left="1760" w:hanging="360"/>
      </w:pPr>
      <w:rPr>
        <w:rFonts w:ascii="Courier New" w:hAnsi="Courier New" w:hint="default"/>
      </w:rPr>
    </w:lvl>
    <w:lvl w:ilvl="2" w:tplc="04070005" w:tentative="1">
      <w:start w:val="1"/>
      <w:numFmt w:val="bullet"/>
      <w:lvlText w:val=""/>
      <w:lvlJc w:val="left"/>
      <w:pPr>
        <w:ind w:left="2480" w:hanging="360"/>
      </w:pPr>
      <w:rPr>
        <w:rFonts w:ascii="Wingdings" w:hAnsi="Wingdings" w:hint="default"/>
      </w:rPr>
    </w:lvl>
    <w:lvl w:ilvl="3" w:tplc="04070001" w:tentative="1">
      <w:start w:val="1"/>
      <w:numFmt w:val="bullet"/>
      <w:lvlText w:val=""/>
      <w:lvlJc w:val="left"/>
      <w:pPr>
        <w:ind w:left="3200" w:hanging="360"/>
      </w:pPr>
      <w:rPr>
        <w:rFonts w:ascii="Symbol" w:hAnsi="Symbol" w:hint="default"/>
      </w:rPr>
    </w:lvl>
    <w:lvl w:ilvl="4" w:tplc="04070003" w:tentative="1">
      <w:start w:val="1"/>
      <w:numFmt w:val="bullet"/>
      <w:lvlText w:val="o"/>
      <w:lvlJc w:val="left"/>
      <w:pPr>
        <w:ind w:left="3920" w:hanging="360"/>
      </w:pPr>
      <w:rPr>
        <w:rFonts w:ascii="Courier New" w:hAnsi="Courier New" w:hint="default"/>
      </w:rPr>
    </w:lvl>
    <w:lvl w:ilvl="5" w:tplc="04070005" w:tentative="1">
      <w:start w:val="1"/>
      <w:numFmt w:val="bullet"/>
      <w:lvlText w:val=""/>
      <w:lvlJc w:val="left"/>
      <w:pPr>
        <w:ind w:left="4640" w:hanging="360"/>
      </w:pPr>
      <w:rPr>
        <w:rFonts w:ascii="Wingdings" w:hAnsi="Wingdings" w:hint="default"/>
      </w:rPr>
    </w:lvl>
    <w:lvl w:ilvl="6" w:tplc="04070001" w:tentative="1">
      <w:start w:val="1"/>
      <w:numFmt w:val="bullet"/>
      <w:lvlText w:val=""/>
      <w:lvlJc w:val="left"/>
      <w:pPr>
        <w:ind w:left="5360" w:hanging="360"/>
      </w:pPr>
      <w:rPr>
        <w:rFonts w:ascii="Symbol" w:hAnsi="Symbol" w:hint="default"/>
      </w:rPr>
    </w:lvl>
    <w:lvl w:ilvl="7" w:tplc="04070003" w:tentative="1">
      <w:start w:val="1"/>
      <w:numFmt w:val="bullet"/>
      <w:lvlText w:val="o"/>
      <w:lvlJc w:val="left"/>
      <w:pPr>
        <w:ind w:left="6080" w:hanging="360"/>
      </w:pPr>
      <w:rPr>
        <w:rFonts w:ascii="Courier New" w:hAnsi="Courier New" w:hint="default"/>
      </w:rPr>
    </w:lvl>
    <w:lvl w:ilvl="8" w:tplc="04070005" w:tentative="1">
      <w:start w:val="1"/>
      <w:numFmt w:val="bullet"/>
      <w:lvlText w:val=""/>
      <w:lvlJc w:val="left"/>
      <w:pPr>
        <w:ind w:left="6800" w:hanging="360"/>
      </w:pPr>
      <w:rPr>
        <w:rFonts w:ascii="Wingdings" w:hAnsi="Wingdings" w:hint="default"/>
      </w:rPr>
    </w:lvl>
  </w:abstractNum>
  <w:abstractNum w:abstractNumId="14">
    <w:nsid w:val="36B85D39"/>
    <w:multiLevelType w:val="singleLevel"/>
    <w:tmpl w:val="585E6D04"/>
    <w:lvl w:ilvl="0">
      <w:start w:val="2"/>
      <w:numFmt w:val="decimal"/>
      <w:pStyle w:val="Vfg2ff"/>
      <w:lvlText w:val="%1."/>
      <w:lvlJc w:val="left"/>
      <w:pPr>
        <w:tabs>
          <w:tab w:val="num" w:pos="0"/>
        </w:tabs>
        <w:ind w:left="0" w:hanging="340"/>
      </w:pPr>
      <w:rPr>
        <w:rFonts w:hint="default"/>
        <w:vanish/>
      </w:rPr>
    </w:lvl>
  </w:abstractNum>
  <w:abstractNum w:abstractNumId="15">
    <w:nsid w:val="3CFC4C52"/>
    <w:multiLevelType w:val="hybridMultilevel"/>
    <w:tmpl w:val="5022B154"/>
    <w:lvl w:ilvl="0" w:tplc="04070005">
      <w:start w:val="1"/>
      <w:numFmt w:val="bullet"/>
      <w:lvlText w:val=""/>
      <w:lvlJc w:val="left"/>
      <w:pPr>
        <w:ind w:left="1040" w:hanging="360"/>
      </w:pPr>
      <w:rPr>
        <w:rFonts w:ascii="Wingdings" w:hAnsi="Wingdings" w:hint="default"/>
      </w:rPr>
    </w:lvl>
    <w:lvl w:ilvl="1" w:tplc="04070003" w:tentative="1">
      <w:start w:val="1"/>
      <w:numFmt w:val="bullet"/>
      <w:lvlText w:val="o"/>
      <w:lvlJc w:val="left"/>
      <w:pPr>
        <w:ind w:left="1760" w:hanging="360"/>
      </w:pPr>
      <w:rPr>
        <w:rFonts w:ascii="Courier New" w:hAnsi="Courier New" w:cs="Courier New" w:hint="default"/>
      </w:rPr>
    </w:lvl>
    <w:lvl w:ilvl="2" w:tplc="04070005" w:tentative="1">
      <w:start w:val="1"/>
      <w:numFmt w:val="bullet"/>
      <w:lvlText w:val=""/>
      <w:lvlJc w:val="left"/>
      <w:pPr>
        <w:ind w:left="2480" w:hanging="360"/>
      </w:pPr>
      <w:rPr>
        <w:rFonts w:ascii="Wingdings" w:hAnsi="Wingdings" w:hint="default"/>
      </w:rPr>
    </w:lvl>
    <w:lvl w:ilvl="3" w:tplc="04070001" w:tentative="1">
      <w:start w:val="1"/>
      <w:numFmt w:val="bullet"/>
      <w:lvlText w:val=""/>
      <w:lvlJc w:val="left"/>
      <w:pPr>
        <w:ind w:left="3200" w:hanging="360"/>
      </w:pPr>
      <w:rPr>
        <w:rFonts w:ascii="Symbol" w:hAnsi="Symbol" w:hint="default"/>
      </w:rPr>
    </w:lvl>
    <w:lvl w:ilvl="4" w:tplc="04070003" w:tentative="1">
      <w:start w:val="1"/>
      <w:numFmt w:val="bullet"/>
      <w:lvlText w:val="o"/>
      <w:lvlJc w:val="left"/>
      <w:pPr>
        <w:ind w:left="3920" w:hanging="360"/>
      </w:pPr>
      <w:rPr>
        <w:rFonts w:ascii="Courier New" w:hAnsi="Courier New" w:cs="Courier New" w:hint="default"/>
      </w:rPr>
    </w:lvl>
    <w:lvl w:ilvl="5" w:tplc="04070005" w:tentative="1">
      <w:start w:val="1"/>
      <w:numFmt w:val="bullet"/>
      <w:lvlText w:val=""/>
      <w:lvlJc w:val="left"/>
      <w:pPr>
        <w:ind w:left="4640" w:hanging="360"/>
      </w:pPr>
      <w:rPr>
        <w:rFonts w:ascii="Wingdings" w:hAnsi="Wingdings" w:hint="default"/>
      </w:rPr>
    </w:lvl>
    <w:lvl w:ilvl="6" w:tplc="04070001" w:tentative="1">
      <w:start w:val="1"/>
      <w:numFmt w:val="bullet"/>
      <w:lvlText w:val=""/>
      <w:lvlJc w:val="left"/>
      <w:pPr>
        <w:ind w:left="5360" w:hanging="360"/>
      </w:pPr>
      <w:rPr>
        <w:rFonts w:ascii="Symbol" w:hAnsi="Symbol" w:hint="default"/>
      </w:rPr>
    </w:lvl>
    <w:lvl w:ilvl="7" w:tplc="04070003" w:tentative="1">
      <w:start w:val="1"/>
      <w:numFmt w:val="bullet"/>
      <w:lvlText w:val="o"/>
      <w:lvlJc w:val="left"/>
      <w:pPr>
        <w:ind w:left="6080" w:hanging="360"/>
      </w:pPr>
      <w:rPr>
        <w:rFonts w:ascii="Courier New" w:hAnsi="Courier New" w:cs="Courier New" w:hint="default"/>
      </w:rPr>
    </w:lvl>
    <w:lvl w:ilvl="8" w:tplc="04070005" w:tentative="1">
      <w:start w:val="1"/>
      <w:numFmt w:val="bullet"/>
      <w:lvlText w:val=""/>
      <w:lvlJc w:val="left"/>
      <w:pPr>
        <w:ind w:left="6800" w:hanging="360"/>
      </w:pPr>
      <w:rPr>
        <w:rFonts w:ascii="Wingdings" w:hAnsi="Wingdings" w:hint="default"/>
      </w:rPr>
    </w:lvl>
  </w:abstractNum>
  <w:abstractNum w:abstractNumId="16">
    <w:nsid w:val="3E6609A8"/>
    <w:multiLevelType w:val="hybridMultilevel"/>
    <w:tmpl w:val="15FA833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nsid w:val="4454121A"/>
    <w:multiLevelType w:val="hybridMultilevel"/>
    <w:tmpl w:val="E342184E"/>
    <w:lvl w:ilvl="0" w:tplc="0407000F">
      <w:start w:val="5"/>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8">
    <w:nsid w:val="44E37223"/>
    <w:multiLevelType w:val="hybridMultilevel"/>
    <w:tmpl w:val="7D244A6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nsid w:val="4634713A"/>
    <w:multiLevelType w:val="hybridMultilevel"/>
    <w:tmpl w:val="5BB239FC"/>
    <w:lvl w:ilvl="0" w:tplc="4C18C63A">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nsid w:val="4F7A4720"/>
    <w:multiLevelType w:val="hybridMultilevel"/>
    <w:tmpl w:val="14C671B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nsid w:val="52D33623"/>
    <w:multiLevelType w:val="hybridMultilevel"/>
    <w:tmpl w:val="95DC9F30"/>
    <w:lvl w:ilvl="0" w:tplc="04070001">
      <w:start w:val="1"/>
      <w:numFmt w:val="bullet"/>
      <w:lvlText w:val=""/>
      <w:lvlJc w:val="left"/>
      <w:pPr>
        <w:ind w:left="1080" w:hanging="360"/>
      </w:pPr>
      <w:rPr>
        <w:rFonts w:ascii="Symbol" w:hAnsi="Symbol" w:hint="default"/>
      </w:rPr>
    </w:lvl>
    <w:lvl w:ilvl="1" w:tplc="04070003">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2">
    <w:nsid w:val="53B21DCD"/>
    <w:multiLevelType w:val="hybridMultilevel"/>
    <w:tmpl w:val="F92CCB1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nsid w:val="544814ED"/>
    <w:multiLevelType w:val="hybridMultilevel"/>
    <w:tmpl w:val="0C20806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nsid w:val="572E4541"/>
    <w:multiLevelType w:val="hybridMultilevel"/>
    <w:tmpl w:val="3E44195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nsid w:val="58435591"/>
    <w:multiLevelType w:val="hybridMultilevel"/>
    <w:tmpl w:val="95B8530C"/>
    <w:lvl w:ilvl="0" w:tplc="0407000F">
      <w:start w:val="1"/>
      <w:numFmt w:val="decimal"/>
      <w:lvlText w:val="%1."/>
      <w:lvlJc w:val="left"/>
      <w:pPr>
        <w:ind w:left="360" w:hanging="360"/>
      </w:p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6">
    <w:nsid w:val="585F00F6"/>
    <w:multiLevelType w:val="hybridMultilevel"/>
    <w:tmpl w:val="B316ED2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nsid w:val="595D1F81"/>
    <w:multiLevelType w:val="hybridMultilevel"/>
    <w:tmpl w:val="3708AAC2"/>
    <w:lvl w:ilvl="0" w:tplc="0407000F">
      <w:start w:val="1"/>
      <w:numFmt w:val="decimal"/>
      <w:lvlText w:val="%1."/>
      <w:lvlJc w:val="left"/>
      <w:pPr>
        <w:ind w:left="1040" w:hanging="360"/>
      </w:pPr>
      <w:rPr>
        <w:rFonts w:hint="default"/>
      </w:rPr>
    </w:lvl>
    <w:lvl w:ilvl="1" w:tplc="04070019" w:tentative="1">
      <w:start w:val="1"/>
      <w:numFmt w:val="lowerLetter"/>
      <w:lvlText w:val="%2."/>
      <w:lvlJc w:val="left"/>
      <w:pPr>
        <w:ind w:left="1760" w:hanging="360"/>
      </w:pPr>
    </w:lvl>
    <w:lvl w:ilvl="2" w:tplc="0407001B" w:tentative="1">
      <w:start w:val="1"/>
      <w:numFmt w:val="lowerRoman"/>
      <w:lvlText w:val="%3."/>
      <w:lvlJc w:val="right"/>
      <w:pPr>
        <w:ind w:left="2480" w:hanging="180"/>
      </w:pPr>
    </w:lvl>
    <w:lvl w:ilvl="3" w:tplc="0407000F" w:tentative="1">
      <w:start w:val="1"/>
      <w:numFmt w:val="decimal"/>
      <w:lvlText w:val="%4."/>
      <w:lvlJc w:val="left"/>
      <w:pPr>
        <w:ind w:left="3200" w:hanging="360"/>
      </w:pPr>
    </w:lvl>
    <w:lvl w:ilvl="4" w:tplc="04070019" w:tentative="1">
      <w:start w:val="1"/>
      <w:numFmt w:val="lowerLetter"/>
      <w:lvlText w:val="%5."/>
      <w:lvlJc w:val="left"/>
      <w:pPr>
        <w:ind w:left="3920" w:hanging="360"/>
      </w:pPr>
    </w:lvl>
    <w:lvl w:ilvl="5" w:tplc="0407001B" w:tentative="1">
      <w:start w:val="1"/>
      <w:numFmt w:val="lowerRoman"/>
      <w:lvlText w:val="%6."/>
      <w:lvlJc w:val="right"/>
      <w:pPr>
        <w:ind w:left="4640" w:hanging="180"/>
      </w:pPr>
    </w:lvl>
    <w:lvl w:ilvl="6" w:tplc="0407000F" w:tentative="1">
      <w:start w:val="1"/>
      <w:numFmt w:val="decimal"/>
      <w:lvlText w:val="%7."/>
      <w:lvlJc w:val="left"/>
      <w:pPr>
        <w:ind w:left="5360" w:hanging="360"/>
      </w:pPr>
    </w:lvl>
    <w:lvl w:ilvl="7" w:tplc="04070019" w:tentative="1">
      <w:start w:val="1"/>
      <w:numFmt w:val="lowerLetter"/>
      <w:lvlText w:val="%8."/>
      <w:lvlJc w:val="left"/>
      <w:pPr>
        <w:ind w:left="6080" w:hanging="360"/>
      </w:pPr>
    </w:lvl>
    <w:lvl w:ilvl="8" w:tplc="0407001B" w:tentative="1">
      <w:start w:val="1"/>
      <w:numFmt w:val="lowerRoman"/>
      <w:lvlText w:val="%9."/>
      <w:lvlJc w:val="right"/>
      <w:pPr>
        <w:ind w:left="6800" w:hanging="180"/>
      </w:pPr>
    </w:lvl>
  </w:abstractNum>
  <w:abstractNum w:abstractNumId="28">
    <w:nsid w:val="5A954F2D"/>
    <w:multiLevelType w:val="hybridMultilevel"/>
    <w:tmpl w:val="65B2D9C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nsid w:val="5B214C4A"/>
    <w:multiLevelType w:val="multilevel"/>
    <w:tmpl w:val="F0EE636C"/>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30">
    <w:nsid w:val="5BEE0689"/>
    <w:multiLevelType w:val="hybridMultilevel"/>
    <w:tmpl w:val="D144B45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1">
    <w:nsid w:val="5D8A47D8"/>
    <w:multiLevelType w:val="hybridMultilevel"/>
    <w:tmpl w:val="ED78CF7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nsid w:val="64334923"/>
    <w:multiLevelType w:val="hybridMultilevel"/>
    <w:tmpl w:val="07082F2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nsid w:val="665E7416"/>
    <w:multiLevelType w:val="hybridMultilevel"/>
    <w:tmpl w:val="723017C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nsid w:val="6672606E"/>
    <w:multiLevelType w:val="hybridMultilevel"/>
    <w:tmpl w:val="59D4A21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5">
    <w:nsid w:val="6F851A35"/>
    <w:multiLevelType w:val="hybridMultilevel"/>
    <w:tmpl w:val="649C42EE"/>
    <w:lvl w:ilvl="0" w:tplc="0407000F">
      <w:start w:val="3"/>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6">
    <w:nsid w:val="718A7CD7"/>
    <w:multiLevelType w:val="hybridMultilevel"/>
    <w:tmpl w:val="4CA81C0C"/>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7">
    <w:nsid w:val="7EAA2129"/>
    <w:multiLevelType w:val="hybridMultilevel"/>
    <w:tmpl w:val="C48A659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4"/>
  </w:num>
  <w:num w:numId="2">
    <w:abstractNumId w:val="14"/>
  </w:num>
  <w:num w:numId="3">
    <w:abstractNumId w:val="33"/>
  </w:num>
  <w:num w:numId="4">
    <w:abstractNumId w:val="16"/>
  </w:num>
  <w:num w:numId="5">
    <w:abstractNumId w:val="3"/>
  </w:num>
  <w:num w:numId="6">
    <w:abstractNumId w:val="24"/>
  </w:num>
  <w:num w:numId="7">
    <w:abstractNumId w:val="23"/>
  </w:num>
  <w:num w:numId="8">
    <w:abstractNumId w:val="4"/>
  </w:num>
  <w:num w:numId="9">
    <w:abstractNumId w:val="21"/>
  </w:num>
  <w:num w:numId="10">
    <w:abstractNumId w:val="20"/>
  </w:num>
  <w:num w:numId="11">
    <w:abstractNumId w:val="32"/>
  </w:num>
  <w:num w:numId="12">
    <w:abstractNumId w:val="22"/>
  </w:num>
  <w:num w:numId="13">
    <w:abstractNumId w:val="19"/>
  </w:num>
  <w:num w:numId="14">
    <w:abstractNumId w:val="1"/>
  </w:num>
  <w:num w:numId="15">
    <w:abstractNumId w:val="10"/>
  </w:num>
  <w:num w:numId="16">
    <w:abstractNumId w:val="28"/>
  </w:num>
  <w:num w:numId="17">
    <w:abstractNumId w:val="25"/>
  </w:num>
  <w:num w:numId="18">
    <w:abstractNumId w:val="1"/>
  </w:num>
  <w:num w:numId="19">
    <w:abstractNumId w:val="1"/>
  </w:num>
  <w:num w:numId="20">
    <w:abstractNumId w:val="9"/>
  </w:num>
  <w:num w:numId="21">
    <w:abstractNumId w:val="1"/>
  </w:num>
  <w:num w:numId="22">
    <w:abstractNumId w:val="2"/>
  </w:num>
  <w:num w:numId="23">
    <w:abstractNumId w:val="1"/>
  </w:num>
  <w:num w:numId="24">
    <w:abstractNumId w:val="0"/>
  </w:num>
  <w:num w:numId="25">
    <w:abstractNumId w:val="36"/>
  </w:num>
  <w:num w:numId="26">
    <w:abstractNumId w:val="15"/>
  </w:num>
  <w:num w:numId="27">
    <w:abstractNumId w:val="11"/>
  </w:num>
  <w:num w:numId="28">
    <w:abstractNumId w:val="29"/>
  </w:num>
  <w:num w:numId="29">
    <w:abstractNumId w:val="7"/>
  </w:num>
  <w:num w:numId="30">
    <w:abstractNumId w:val="35"/>
  </w:num>
  <w:num w:numId="31">
    <w:abstractNumId w:val="27"/>
  </w:num>
  <w:num w:numId="32">
    <w:abstractNumId w:val="13"/>
  </w:num>
  <w:num w:numId="33">
    <w:abstractNumId w:val="37"/>
  </w:num>
  <w:num w:numId="34">
    <w:abstractNumId w:val="26"/>
  </w:num>
  <w:num w:numId="35">
    <w:abstractNumId w:val="31"/>
  </w:num>
  <w:num w:numId="36">
    <w:abstractNumId w:val="30"/>
  </w:num>
  <w:num w:numId="37">
    <w:abstractNumId w:val="12"/>
  </w:num>
  <w:num w:numId="38">
    <w:abstractNumId w:val="6"/>
  </w:num>
  <w:num w:numId="39">
    <w:abstractNumId w:val="34"/>
  </w:num>
  <w:num w:numId="40">
    <w:abstractNumId w:val="18"/>
  </w:num>
  <w:num w:numId="41">
    <w:abstractNumId w:val="5"/>
  </w:num>
  <w:num w:numId="42">
    <w:abstractNumId w:val="17"/>
  </w:num>
  <w:num w:numId="4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de-DE" w:vendorID="64" w:dllVersion="131078" w:nlCheck="1" w:checkStyle="0"/>
  <w:activeWritingStyle w:appName="MSWord" w:lang="en-US" w:vendorID="64" w:dllVersion="131078" w:nlCheck="1" w:checkStyle="1"/>
  <w:activeWritingStyle w:appName="MSWord" w:lang="en-GB" w:vendorID="64" w:dllVersion="131078" w:nlCheck="1" w:checkStyle="1"/>
  <w:activeWritingStyle w:appName="MSWord" w:lang="fr-FR"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40"/>
  <w:hyphenationZone w:val="425"/>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3E04"/>
    <w:rsid w:val="00000072"/>
    <w:rsid w:val="00003A13"/>
    <w:rsid w:val="00003F61"/>
    <w:rsid w:val="00004198"/>
    <w:rsid w:val="00006E73"/>
    <w:rsid w:val="00007025"/>
    <w:rsid w:val="00007C86"/>
    <w:rsid w:val="000126E8"/>
    <w:rsid w:val="00014B70"/>
    <w:rsid w:val="00022175"/>
    <w:rsid w:val="0002601E"/>
    <w:rsid w:val="00027636"/>
    <w:rsid w:val="00031A26"/>
    <w:rsid w:val="00032DA9"/>
    <w:rsid w:val="00035A44"/>
    <w:rsid w:val="00037330"/>
    <w:rsid w:val="0004088E"/>
    <w:rsid w:val="00043535"/>
    <w:rsid w:val="0004768B"/>
    <w:rsid w:val="000500E3"/>
    <w:rsid w:val="00054B7A"/>
    <w:rsid w:val="0005668F"/>
    <w:rsid w:val="0006321C"/>
    <w:rsid w:val="00065A4A"/>
    <w:rsid w:val="00067F3E"/>
    <w:rsid w:val="00071AE7"/>
    <w:rsid w:val="000778C9"/>
    <w:rsid w:val="00077D9E"/>
    <w:rsid w:val="00082F90"/>
    <w:rsid w:val="00085D31"/>
    <w:rsid w:val="00087BCC"/>
    <w:rsid w:val="00094248"/>
    <w:rsid w:val="00097F95"/>
    <w:rsid w:val="000A5738"/>
    <w:rsid w:val="000B3974"/>
    <w:rsid w:val="000B4F12"/>
    <w:rsid w:val="000B78CC"/>
    <w:rsid w:val="000C7593"/>
    <w:rsid w:val="000D34BE"/>
    <w:rsid w:val="000D7078"/>
    <w:rsid w:val="000E03BE"/>
    <w:rsid w:val="000E44C0"/>
    <w:rsid w:val="000F439A"/>
    <w:rsid w:val="000F7FF7"/>
    <w:rsid w:val="00101563"/>
    <w:rsid w:val="00105BF5"/>
    <w:rsid w:val="001145CA"/>
    <w:rsid w:val="00115244"/>
    <w:rsid w:val="00124395"/>
    <w:rsid w:val="00130B5D"/>
    <w:rsid w:val="00144D03"/>
    <w:rsid w:val="00146C85"/>
    <w:rsid w:val="0015275A"/>
    <w:rsid w:val="0016149E"/>
    <w:rsid w:val="001631E0"/>
    <w:rsid w:val="00163E20"/>
    <w:rsid w:val="0016794E"/>
    <w:rsid w:val="00182C76"/>
    <w:rsid w:val="00196E2C"/>
    <w:rsid w:val="00197F37"/>
    <w:rsid w:val="001A2B90"/>
    <w:rsid w:val="001B0563"/>
    <w:rsid w:val="001B2358"/>
    <w:rsid w:val="001B27B7"/>
    <w:rsid w:val="001D15E3"/>
    <w:rsid w:val="001D4432"/>
    <w:rsid w:val="001E1689"/>
    <w:rsid w:val="001F150D"/>
    <w:rsid w:val="001F1D2D"/>
    <w:rsid w:val="001F5AD7"/>
    <w:rsid w:val="001F5EDD"/>
    <w:rsid w:val="0020132B"/>
    <w:rsid w:val="00205459"/>
    <w:rsid w:val="0020775C"/>
    <w:rsid w:val="0021446B"/>
    <w:rsid w:val="00222E33"/>
    <w:rsid w:val="002234D4"/>
    <w:rsid w:val="00230A37"/>
    <w:rsid w:val="00231CDA"/>
    <w:rsid w:val="00234112"/>
    <w:rsid w:val="0023453B"/>
    <w:rsid w:val="0023752D"/>
    <w:rsid w:val="00240684"/>
    <w:rsid w:val="00244E85"/>
    <w:rsid w:val="00245350"/>
    <w:rsid w:val="00247E70"/>
    <w:rsid w:val="00250F67"/>
    <w:rsid w:val="0026011F"/>
    <w:rsid w:val="00262BB7"/>
    <w:rsid w:val="00266412"/>
    <w:rsid w:val="00270B31"/>
    <w:rsid w:val="00270B69"/>
    <w:rsid w:val="00273992"/>
    <w:rsid w:val="0027679E"/>
    <w:rsid w:val="00280D5F"/>
    <w:rsid w:val="00280FBE"/>
    <w:rsid w:val="00294618"/>
    <w:rsid w:val="00297080"/>
    <w:rsid w:val="002A4DC9"/>
    <w:rsid w:val="002A5DBE"/>
    <w:rsid w:val="002A60B4"/>
    <w:rsid w:val="002B784C"/>
    <w:rsid w:val="002B7BA9"/>
    <w:rsid w:val="002D29AD"/>
    <w:rsid w:val="002D6EA2"/>
    <w:rsid w:val="002E4304"/>
    <w:rsid w:val="002E6967"/>
    <w:rsid w:val="003112A8"/>
    <w:rsid w:val="00312E16"/>
    <w:rsid w:val="00314203"/>
    <w:rsid w:val="00320815"/>
    <w:rsid w:val="00331F3E"/>
    <w:rsid w:val="00335A66"/>
    <w:rsid w:val="00341305"/>
    <w:rsid w:val="00347A08"/>
    <w:rsid w:val="0035113F"/>
    <w:rsid w:val="003513C9"/>
    <w:rsid w:val="0035164D"/>
    <w:rsid w:val="00351D05"/>
    <w:rsid w:val="00353491"/>
    <w:rsid w:val="00363286"/>
    <w:rsid w:val="003670A4"/>
    <w:rsid w:val="0037178F"/>
    <w:rsid w:val="00372F8E"/>
    <w:rsid w:val="00374DAD"/>
    <w:rsid w:val="00383335"/>
    <w:rsid w:val="00386C47"/>
    <w:rsid w:val="00391267"/>
    <w:rsid w:val="003931B4"/>
    <w:rsid w:val="00393A8A"/>
    <w:rsid w:val="003A4EA9"/>
    <w:rsid w:val="003A7BA7"/>
    <w:rsid w:val="003B3DC5"/>
    <w:rsid w:val="003C2072"/>
    <w:rsid w:val="003D0E0A"/>
    <w:rsid w:val="003D2FD5"/>
    <w:rsid w:val="003D3776"/>
    <w:rsid w:val="003D4F48"/>
    <w:rsid w:val="003E1FB4"/>
    <w:rsid w:val="003E2245"/>
    <w:rsid w:val="003E2AA2"/>
    <w:rsid w:val="003E35A4"/>
    <w:rsid w:val="003E406A"/>
    <w:rsid w:val="003E4FBD"/>
    <w:rsid w:val="003E5682"/>
    <w:rsid w:val="003F3583"/>
    <w:rsid w:val="003F6C76"/>
    <w:rsid w:val="00400475"/>
    <w:rsid w:val="00400B65"/>
    <w:rsid w:val="004103CA"/>
    <w:rsid w:val="00411482"/>
    <w:rsid w:val="00414B80"/>
    <w:rsid w:val="0042480E"/>
    <w:rsid w:val="00424B31"/>
    <w:rsid w:val="00425690"/>
    <w:rsid w:val="00426B4B"/>
    <w:rsid w:val="004272B6"/>
    <w:rsid w:val="004311D1"/>
    <w:rsid w:val="004327BA"/>
    <w:rsid w:val="004367FB"/>
    <w:rsid w:val="00437FF3"/>
    <w:rsid w:val="00444876"/>
    <w:rsid w:val="00447162"/>
    <w:rsid w:val="00447410"/>
    <w:rsid w:val="00447F4F"/>
    <w:rsid w:val="004523E5"/>
    <w:rsid w:val="00452B84"/>
    <w:rsid w:val="00452D46"/>
    <w:rsid w:val="004573AF"/>
    <w:rsid w:val="00465185"/>
    <w:rsid w:val="00475F96"/>
    <w:rsid w:val="00477BFB"/>
    <w:rsid w:val="00477CAA"/>
    <w:rsid w:val="00481284"/>
    <w:rsid w:val="004816A3"/>
    <w:rsid w:val="00482B41"/>
    <w:rsid w:val="004841EF"/>
    <w:rsid w:val="00486D2C"/>
    <w:rsid w:val="00487B6D"/>
    <w:rsid w:val="004A2A8E"/>
    <w:rsid w:val="004A4678"/>
    <w:rsid w:val="004A7BD3"/>
    <w:rsid w:val="004A7BFA"/>
    <w:rsid w:val="004A7E68"/>
    <w:rsid w:val="004B3419"/>
    <w:rsid w:val="004C181D"/>
    <w:rsid w:val="004C5AFA"/>
    <w:rsid w:val="004C74B5"/>
    <w:rsid w:val="004D0A58"/>
    <w:rsid w:val="004D2CB4"/>
    <w:rsid w:val="004E1D9C"/>
    <w:rsid w:val="004E7B1D"/>
    <w:rsid w:val="004E7EE4"/>
    <w:rsid w:val="004F07FE"/>
    <w:rsid w:val="004F7664"/>
    <w:rsid w:val="00502A7A"/>
    <w:rsid w:val="005057E4"/>
    <w:rsid w:val="00510B63"/>
    <w:rsid w:val="0051279F"/>
    <w:rsid w:val="00512921"/>
    <w:rsid w:val="005144FE"/>
    <w:rsid w:val="00524D1B"/>
    <w:rsid w:val="00527FC0"/>
    <w:rsid w:val="00531316"/>
    <w:rsid w:val="00532C11"/>
    <w:rsid w:val="005352B3"/>
    <w:rsid w:val="00536592"/>
    <w:rsid w:val="00546B33"/>
    <w:rsid w:val="00550CC7"/>
    <w:rsid w:val="00551E18"/>
    <w:rsid w:val="00552135"/>
    <w:rsid w:val="00565ECA"/>
    <w:rsid w:val="0058072C"/>
    <w:rsid w:val="00583B0A"/>
    <w:rsid w:val="005844E6"/>
    <w:rsid w:val="005854D5"/>
    <w:rsid w:val="005913E1"/>
    <w:rsid w:val="00595473"/>
    <w:rsid w:val="005A139B"/>
    <w:rsid w:val="005A61AF"/>
    <w:rsid w:val="005A6486"/>
    <w:rsid w:val="005B2600"/>
    <w:rsid w:val="005B4A47"/>
    <w:rsid w:val="005B5237"/>
    <w:rsid w:val="005B534A"/>
    <w:rsid w:val="005C7F28"/>
    <w:rsid w:val="005D510B"/>
    <w:rsid w:val="005D717B"/>
    <w:rsid w:val="005E1C82"/>
    <w:rsid w:val="005E389F"/>
    <w:rsid w:val="005E3E65"/>
    <w:rsid w:val="0060077E"/>
    <w:rsid w:val="00600B12"/>
    <w:rsid w:val="00602254"/>
    <w:rsid w:val="00602CF6"/>
    <w:rsid w:val="0060497D"/>
    <w:rsid w:val="006060E3"/>
    <w:rsid w:val="00606366"/>
    <w:rsid w:val="00612DDE"/>
    <w:rsid w:val="00616527"/>
    <w:rsid w:val="0061764F"/>
    <w:rsid w:val="0062560E"/>
    <w:rsid w:val="00630004"/>
    <w:rsid w:val="00637B40"/>
    <w:rsid w:val="006416F7"/>
    <w:rsid w:val="006439F3"/>
    <w:rsid w:val="00655C02"/>
    <w:rsid w:val="00663C31"/>
    <w:rsid w:val="00666F75"/>
    <w:rsid w:val="00674049"/>
    <w:rsid w:val="00674F12"/>
    <w:rsid w:val="00677E34"/>
    <w:rsid w:val="00683909"/>
    <w:rsid w:val="00684A7D"/>
    <w:rsid w:val="0069274F"/>
    <w:rsid w:val="00692F58"/>
    <w:rsid w:val="006964A7"/>
    <w:rsid w:val="006A0C2C"/>
    <w:rsid w:val="006A1B28"/>
    <w:rsid w:val="006A46FA"/>
    <w:rsid w:val="006A6763"/>
    <w:rsid w:val="006A7869"/>
    <w:rsid w:val="006B1C7D"/>
    <w:rsid w:val="006B20F8"/>
    <w:rsid w:val="006B6D7C"/>
    <w:rsid w:val="006C04FE"/>
    <w:rsid w:val="006C1926"/>
    <w:rsid w:val="006C2EF1"/>
    <w:rsid w:val="006C2F5A"/>
    <w:rsid w:val="006C5AEA"/>
    <w:rsid w:val="006D4CF5"/>
    <w:rsid w:val="006E5D6E"/>
    <w:rsid w:val="006F3FF0"/>
    <w:rsid w:val="006F5225"/>
    <w:rsid w:val="006F65CB"/>
    <w:rsid w:val="00701E18"/>
    <w:rsid w:val="00707355"/>
    <w:rsid w:val="007140A2"/>
    <w:rsid w:val="00721C86"/>
    <w:rsid w:val="007249EF"/>
    <w:rsid w:val="007263DD"/>
    <w:rsid w:val="00741FA5"/>
    <w:rsid w:val="00745ABF"/>
    <w:rsid w:val="00745EF8"/>
    <w:rsid w:val="00746176"/>
    <w:rsid w:val="00750613"/>
    <w:rsid w:val="0075484B"/>
    <w:rsid w:val="00754E19"/>
    <w:rsid w:val="00755B53"/>
    <w:rsid w:val="00772F5A"/>
    <w:rsid w:val="00774E94"/>
    <w:rsid w:val="007842AF"/>
    <w:rsid w:val="0078676E"/>
    <w:rsid w:val="0078741F"/>
    <w:rsid w:val="00795A2C"/>
    <w:rsid w:val="00796BF1"/>
    <w:rsid w:val="007A1FAB"/>
    <w:rsid w:val="007A4776"/>
    <w:rsid w:val="007A7346"/>
    <w:rsid w:val="007B01D1"/>
    <w:rsid w:val="007B1B60"/>
    <w:rsid w:val="007B5267"/>
    <w:rsid w:val="007B6AC1"/>
    <w:rsid w:val="007B7F7F"/>
    <w:rsid w:val="007C067D"/>
    <w:rsid w:val="007C15FB"/>
    <w:rsid w:val="007C5851"/>
    <w:rsid w:val="007C630B"/>
    <w:rsid w:val="007C645F"/>
    <w:rsid w:val="007D2DCF"/>
    <w:rsid w:val="007D47F9"/>
    <w:rsid w:val="007E106E"/>
    <w:rsid w:val="007E7B57"/>
    <w:rsid w:val="007F32B2"/>
    <w:rsid w:val="008031D1"/>
    <w:rsid w:val="00803A44"/>
    <w:rsid w:val="00807354"/>
    <w:rsid w:val="00815B38"/>
    <w:rsid w:val="00821BC5"/>
    <w:rsid w:val="00821C74"/>
    <w:rsid w:val="00825656"/>
    <w:rsid w:val="008270ED"/>
    <w:rsid w:val="00831931"/>
    <w:rsid w:val="00831D98"/>
    <w:rsid w:val="00832246"/>
    <w:rsid w:val="00833E79"/>
    <w:rsid w:val="0083413A"/>
    <w:rsid w:val="0084336C"/>
    <w:rsid w:val="008446A0"/>
    <w:rsid w:val="00844B39"/>
    <w:rsid w:val="00850EDB"/>
    <w:rsid w:val="00852095"/>
    <w:rsid w:val="00853488"/>
    <w:rsid w:val="008538CD"/>
    <w:rsid w:val="00854BE0"/>
    <w:rsid w:val="00854DF6"/>
    <w:rsid w:val="00860B10"/>
    <w:rsid w:val="0086346D"/>
    <w:rsid w:val="00864E9D"/>
    <w:rsid w:val="008655D0"/>
    <w:rsid w:val="00867385"/>
    <w:rsid w:val="0087103C"/>
    <w:rsid w:val="0087387F"/>
    <w:rsid w:val="00873C9D"/>
    <w:rsid w:val="008755E9"/>
    <w:rsid w:val="008773F0"/>
    <w:rsid w:val="008854C0"/>
    <w:rsid w:val="008A0DAF"/>
    <w:rsid w:val="008A1A0B"/>
    <w:rsid w:val="008A2008"/>
    <w:rsid w:val="008A2B95"/>
    <w:rsid w:val="008A4AAE"/>
    <w:rsid w:val="008A5FD5"/>
    <w:rsid w:val="008B0538"/>
    <w:rsid w:val="008B2077"/>
    <w:rsid w:val="008B3D5E"/>
    <w:rsid w:val="008C3E14"/>
    <w:rsid w:val="008C4F13"/>
    <w:rsid w:val="008D790D"/>
    <w:rsid w:val="008E43C9"/>
    <w:rsid w:val="008E6B7F"/>
    <w:rsid w:val="008F5122"/>
    <w:rsid w:val="008F5279"/>
    <w:rsid w:val="009015D6"/>
    <w:rsid w:val="009044A7"/>
    <w:rsid w:val="00906629"/>
    <w:rsid w:val="00907FC7"/>
    <w:rsid w:val="00913C35"/>
    <w:rsid w:val="009143C7"/>
    <w:rsid w:val="00915108"/>
    <w:rsid w:val="00915EDE"/>
    <w:rsid w:val="00917B9D"/>
    <w:rsid w:val="00920C91"/>
    <w:rsid w:val="0093008A"/>
    <w:rsid w:val="009353CF"/>
    <w:rsid w:val="009356F7"/>
    <w:rsid w:val="0094129A"/>
    <w:rsid w:val="0094205C"/>
    <w:rsid w:val="0094345D"/>
    <w:rsid w:val="00943B7B"/>
    <w:rsid w:val="00950D23"/>
    <w:rsid w:val="00963450"/>
    <w:rsid w:val="0096486A"/>
    <w:rsid w:val="009672A4"/>
    <w:rsid w:val="00967844"/>
    <w:rsid w:val="0097064D"/>
    <w:rsid w:val="009757FC"/>
    <w:rsid w:val="00977D21"/>
    <w:rsid w:val="00982EE0"/>
    <w:rsid w:val="0098437A"/>
    <w:rsid w:val="00991938"/>
    <w:rsid w:val="00991D7D"/>
    <w:rsid w:val="009924A5"/>
    <w:rsid w:val="0099523D"/>
    <w:rsid w:val="009A09A8"/>
    <w:rsid w:val="009A0C37"/>
    <w:rsid w:val="009A1298"/>
    <w:rsid w:val="009A299D"/>
    <w:rsid w:val="009A3F35"/>
    <w:rsid w:val="009A45FE"/>
    <w:rsid w:val="009C17C2"/>
    <w:rsid w:val="009C2D83"/>
    <w:rsid w:val="009C581A"/>
    <w:rsid w:val="009C7C95"/>
    <w:rsid w:val="009D08FA"/>
    <w:rsid w:val="009D4DC0"/>
    <w:rsid w:val="009D51AF"/>
    <w:rsid w:val="009E1425"/>
    <w:rsid w:val="009E5B14"/>
    <w:rsid w:val="009F4D85"/>
    <w:rsid w:val="009F6395"/>
    <w:rsid w:val="009F6551"/>
    <w:rsid w:val="00A01670"/>
    <w:rsid w:val="00A122F8"/>
    <w:rsid w:val="00A1384F"/>
    <w:rsid w:val="00A15AB7"/>
    <w:rsid w:val="00A26585"/>
    <w:rsid w:val="00A31C9E"/>
    <w:rsid w:val="00A402EF"/>
    <w:rsid w:val="00A44AA0"/>
    <w:rsid w:val="00A51C06"/>
    <w:rsid w:val="00A532D7"/>
    <w:rsid w:val="00A54BBC"/>
    <w:rsid w:val="00A612A5"/>
    <w:rsid w:val="00A70F34"/>
    <w:rsid w:val="00A71A61"/>
    <w:rsid w:val="00A72554"/>
    <w:rsid w:val="00A816D2"/>
    <w:rsid w:val="00A81B66"/>
    <w:rsid w:val="00A82549"/>
    <w:rsid w:val="00A83E04"/>
    <w:rsid w:val="00A91B71"/>
    <w:rsid w:val="00A9622F"/>
    <w:rsid w:val="00AA18A4"/>
    <w:rsid w:val="00AA3500"/>
    <w:rsid w:val="00AB5C1F"/>
    <w:rsid w:val="00AC3602"/>
    <w:rsid w:val="00AD2F78"/>
    <w:rsid w:val="00AD36C3"/>
    <w:rsid w:val="00AD3D26"/>
    <w:rsid w:val="00AD62F0"/>
    <w:rsid w:val="00AE3F3E"/>
    <w:rsid w:val="00AE5EE5"/>
    <w:rsid w:val="00AF5179"/>
    <w:rsid w:val="00B00A3F"/>
    <w:rsid w:val="00B05299"/>
    <w:rsid w:val="00B22899"/>
    <w:rsid w:val="00B252DA"/>
    <w:rsid w:val="00B25AF4"/>
    <w:rsid w:val="00B31BDA"/>
    <w:rsid w:val="00B33E1C"/>
    <w:rsid w:val="00B33E37"/>
    <w:rsid w:val="00B36976"/>
    <w:rsid w:val="00B4323B"/>
    <w:rsid w:val="00B53192"/>
    <w:rsid w:val="00B654EF"/>
    <w:rsid w:val="00B71BDE"/>
    <w:rsid w:val="00B84610"/>
    <w:rsid w:val="00B86733"/>
    <w:rsid w:val="00B936DC"/>
    <w:rsid w:val="00B9563D"/>
    <w:rsid w:val="00BA17EA"/>
    <w:rsid w:val="00BA47FA"/>
    <w:rsid w:val="00BB338A"/>
    <w:rsid w:val="00BB5085"/>
    <w:rsid w:val="00BC1D79"/>
    <w:rsid w:val="00BC722C"/>
    <w:rsid w:val="00BE0DD1"/>
    <w:rsid w:val="00BF0040"/>
    <w:rsid w:val="00BF1B00"/>
    <w:rsid w:val="00BF3633"/>
    <w:rsid w:val="00BF5FD9"/>
    <w:rsid w:val="00C01B97"/>
    <w:rsid w:val="00C04C24"/>
    <w:rsid w:val="00C0705D"/>
    <w:rsid w:val="00C21AA2"/>
    <w:rsid w:val="00C25A52"/>
    <w:rsid w:val="00C269A3"/>
    <w:rsid w:val="00C33BD3"/>
    <w:rsid w:val="00C45003"/>
    <w:rsid w:val="00C53482"/>
    <w:rsid w:val="00C54F39"/>
    <w:rsid w:val="00C561E2"/>
    <w:rsid w:val="00C648EA"/>
    <w:rsid w:val="00C652F8"/>
    <w:rsid w:val="00C6757A"/>
    <w:rsid w:val="00C67D72"/>
    <w:rsid w:val="00C70187"/>
    <w:rsid w:val="00C72D1F"/>
    <w:rsid w:val="00C74C24"/>
    <w:rsid w:val="00C8771F"/>
    <w:rsid w:val="00C952AF"/>
    <w:rsid w:val="00CA046E"/>
    <w:rsid w:val="00CA1579"/>
    <w:rsid w:val="00CA4E85"/>
    <w:rsid w:val="00CA5348"/>
    <w:rsid w:val="00CA67E3"/>
    <w:rsid w:val="00CB0AC0"/>
    <w:rsid w:val="00CC5A1E"/>
    <w:rsid w:val="00CC6171"/>
    <w:rsid w:val="00CC65B7"/>
    <w:rsid w:val="00CD6D99"/>
    <w:rsid w:val="00CD7B03"/>
    <w:rsid w:val="00CD7B2B"/>
    <w:rsid w:val="00CF0D58"/>
    <w:rsid w:val="00CF1856"/>
    <w:rsid w:val="00CF5B6B"/>
    <w:rsid w:val="00D015B7"/>
    <w:rsid w:val="00D01D3C"/>
    <w:rsid w:val="00D06083"/>
    <w:rsid w:val="00D106A5"/>
    <w:rsid w:val="00D169F2"/>
    <w:rsid w:val="00D3055E"/>
    <w:rsid w:val="00D30BDE"/>
    <w:rsid w:val="00D35D4C"/>
    <w:rsid w:val="00D37976"/>
    <w:rsid w:val="00D41843"/>
    <w:rsid w:val="00D430EC"/>
    <w:rsid w:val="00D45D4F"/>
    <w:rsid w:val="00D6407F"/>
    <w:rsid w:val="00D67988"/>
    <w:rsid w:val="00D7406E"/>
    <w:rsid w:val="00D76960"/>
    <w:rsid w:val="00D81DD1"/>
    <w:rsid w:val="00D82645"/>
    <w:rsid w:val="00D90882"/>
    <w:rsid w:val="00D92523"/>
    <w:rsid w:val="00D95CAD"/>
    <w:rsid w:val="00DA29DD"/>
    <w:rsid w:val="00DA2C39"/>
    <w:rsid w:val="00DA2EBF"/>
    <w:rsid w:val="00DA3DDA"/>
    <w:rsid w:val="00DA585D"/>
    <w:rsid w:val="00DB06E1"/>
    <w:rsid w:val="00DB558C"/>
    <w:rsid w:val="00DB7466"/>
    <w:rsid w:val="00DC20F9"/>
    <w:rsid w:val="00DC45D8"/>
    <w:rsid w:val="00DC5217"/>
    <w:rsid w:val="00DD0962"/>
    <w:rsid w:val="00DE0D00"/>
    <w:rsid w:val="00DE0E51"/>
    <w:rsid w:val="00E06CD0"/>
    <w:rsid w:val="00E07EFE"/>
    <w:rsid w:val="00E12A9D"/>
    <w:rsid w:val="00E17929"/>
    <w:rsid w:val="00E22DA5"/>
    <w:rsid w:val="00E274CB"/>
    <w:rsid w:val="00E363A3"/>
    <w:rsid w:val="00E36839"/>
    <w:rsid w:val="00E41648"/>
    <w:rsid w:val="00E419FC"/>
    <w:rsid w:val="00E43D73"/>
    <w:rsid w:val="00E46EFB"/>
    <w:rsid w:val="00E4796D"/>
    <w:rsid w:val="00E548BD"/>
    <w:rsid w:val="00E56BFB"/>
    <w:rsid w:val="00E64CC9"/>
    <w:rsid w:val="00E665D2"/>
    <w:rsid w:val="00E6787B"/>
    <w:rsid w:val="00E75078"/>
    <w:rsid w:val="00E76B8C"/>
    <w:rsid w:val="00E8512B"/>
    <w:rsid w:val="00E913A2"/>
    <w:rsid w:val="00EA3998"/>
    <w:rsid w:val="00EB1CB0"/>
    <w:rsid w:val="00EB2A53"/>
    <w:rsid w:val="00EB3F56"/>
    <w:rsid w:val="00EC4038"/>
    <w:rsid w:val="00ED1FD0"/>
    <w:rsid w:val="00ED4F03"/>
    <w:rsid w:val="00ED69DF"/>
    <w:rsid w:val="00EE23C5"/>
    <w:rsid w:val="00EE47F5"/>
    <w:rsid w:val="00EE4FD9"/>
    <w:rsid w:val="00EF046D"/>
    <w:rsid w:val="00EF2634"/>
    <w:rsid w:val="00EF5444"/>
    <w:rsid w:val="00EF6397"/>
    <w:rsid w:val="00F00482"/>
    <w:rsid w:val="00F03A4A"/>
    <w:rsid w:val="00F040ED"/>
    <w:rsid w:val="00F131C2"/>
    <w:rsid w:val="00F20D93"/>
    <w:rsid w:val="00F23574"/>
    <w:rsid w:val="00F423A1"/>
    <w:rsid w:val="00F46501"/>
    <w:rsid w:val="00F47737"/>
    <w:rsid w:val="00F50AF5"/>
    <w:rsid w:val="00F50C21"/>
    <w:rsid w:val="00F542CD"/>
    <w:rsid w:val="00F56100"/>
    <w:rsid w:val="00F60FC3"/>
    <w:rsid w:val="00F640AF"/>
    <w:rsid w:val="00F649B7"/>
    <w:rsid w:val="00F65C74"/>
    <w:rsid w:val="00F67E0C"/>
    <w:rsid w:val="00F70435"/>
    <w:rsid w:val="00F72736"/>
    <w:rsid w:val="00F76E34"/>
    <w:rsid w:val="00F774AC"/>
    <w:rsid w:val="00F7770C"/>
    <w:rsid w:val="00F77A89"/>
    <w:rsid w:val="00F77B44"/>
    <w:rsid w:val="00F96DB6"/>
    <w:rsid w:val="00F97CB0"/>
    <w:rsid w:val="00FC1875"/>
    <w:rsid w:val="00FC3624"/>
    <w:rsid w:val="00FC7B4D"/>
    <w:rsid w:val="00FD0ECE"/>
    <w:rsid w:val="00FD51E1"/>
    <w:rsid w:val="00FE17DF"/>
    <w:rsid w:val="00FE1FFD"/>
    <w:rsid w:val="00FF34C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52DA"/>
    <w:pPr>
      <w:spacing w:after="120" w:line="360" w:lineRule="exact"/>
    </w:pPr>
    <w:rPr>
      <w:sz w:val="24"/>
    </w:rPr>
  </w:style>
  <w:style w:type="paragraph" w:styleId="Rubrik1">
    <w:name w:val="heading 1"/>
    <w:basedOn w:val="Normal"/>
    <w:next w:val="Normal"/>
    <w:link w:val="Rubrik1Char"/>
    <w:uiPriority w:val="9"/>
    <w:qFormat/>
    <w:rsid w:val="0094129A"/>
    <w:pPr>
      <w:keepNext/>
      <w:keepLines/>
      <w:numPr>
        <w:numId w:val="14"/>
      </w:numPr>
      <w:spacing w:before="480"/>
      <w:outlineLvl w:val="0"/>
    </w:pPr>
    <w:rPr>
      <w:rFonts w:asciiTheme="majorHAnsi" w:eastAsiaTheme="majorEastAsia" w:hAnsiTheme="majorHAnsi" w:cstheme="majorBidi"/>
      <w:b/>
      <w:bCs/>
      <w:color w:val="365F91" w:themeColor="accent1" w:themeShade="BF"/>
      <w:sz w:val="32"/>
      <w:szCs w:val="2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rsid w:val="008A2008"/>
    <w:pPr>
      <w:tabs>
        <w:tab w:val="center" w:pos="4536"/>
        <w:tab w:val="right" w:pos="9072"/>
      </w:tabs>
    </w:pPr>
  </w:style>
  <w:style w:type="paragraph" w:styleId="Sidfot">
    <w:name w:val="footer"/>
    <w:basedOn w:val="Normal"/>
    <w:rsid w:val="008A2008"/>
    <w:pPr>
      <w:tabs>
        <w:tab w:val="center" w:pos="4536"/>
        <w:tab w:val="right" w:pos="9072"/>
      </w:tabs>
    </w:pPr>
  </w:style>
  <w:style w:type="paragraph" w:customStyle="1" w:styleId="Adresse">
    <w:name w:val="Adresse"/>
    <w:basedOn w:val="Normal"/>
    <w:rsid w:val="008A2008"/>
    <w:pPr>
      <w:ind w:right="567"/>
    </w:pPr>
  </w:style>
  <w:style w:type="paragraph" w:styleId="Adress-brev">
    <w:name w:val="envelope address"/>
    <w:basedOn w:val="Normal"/>
    <w:rsid w:val="008A2008"/>
    <w:pPr>
      <w:framePr w:w="4320" w:h="2160" w:hRule="exact" w:hSpace="141" w:wrap="auto" w:hAnchor="page" w:xAlign="center" w:yAlign="bottom"/>
      <w:spacing w:line="240" w:lineRule="exact"/>
    </w:pPr>
  </w:style>
  <w:style w:type="paragraph" w:customStyle="1" w:styleId="Vfg2ff">
    <w:name w:val="Vfg 2 ff"/>
    <w:basedOn w:val="Normal"/>
    <w:rsid w:val="00FD0ECE"/>
    <w:pPr>
      <w:numPr>
        <w:numId w:val="2"/>
      </w:numPr>
    </w:pPr>
    <w:rPr>
      <w:vanish/>
      <w:szCs w:val="24"/>
    </w:rPr>
  </w:style>
  <w:style w:type="paragraph" w:styleId="Rubrik">
    <w:name w:val="Title"/>
    <w:basedOn w:val="Normal"/>
    <w:next w:val="Normal"/>
    <w:link w:val="RubrikChar"/>
    <w:uiPriority w:val="10"/>
    <w:qFormat/>
    <w:rsid w:val="00A83E0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RubrikChar">
    <w:name w:val="Rubrik Char"/>
    <w:basedOn w:val="Standardstycketeckensnitt"/>
    <w:link w:val="Rubrik"/>
    <w:uiPriority w:val="10"/>
    <w:rsid w:val="00A83E04"/>
    <w:rPr>
      <w:rFonts w:asciiTheme="majorHAnsi" w:eastAsiaTheme="majorEastAsia" w:hAnsiTheme="majorHAnsi" w:cstheme="majorBidi"/>
      <w:color w:val="17365D" w:themeColor="text2" w:themeShade="BF"/>
      <w:spacing w:val="5"/>
      <w:kern w:val="28"/>
      <w:sz w:val="52"/>
      <w:szCs w:val="52"/>
    </w:rPr>
  </w:style>
  <w:style w:type="character" w:customStyle="1" w:styleId="Rubrik1Char">
    <w:name w:val="Rubrik 1 Char"/>
    <w:basedOn w:val="Standardstycketeckensnitt"/>
    <w:link w:val="Rubrik1"/>
    <w:uiPriority w:val="9"/>
    <w:rsid w:val="0094129A"/>
    <w:rPr>
      <w:rFonts w:asciiTheme="majorHAnsi" w:eastAsiaTheme="majorEastAsia" w:hAnsiTheme="majorHAnsi" w:cstheme="majorBidi"/>
      <w:b/>
      <w:bCs/>
      <w:color w:val="365F91" w:themeColor="accent1" w:themeShade="BF"/>
      <w:sz w:val="32"/>
      <w:szCs w:val="28"/>
    </w:rPr>
  </w:style>
  <w:style w:type="character" w:styleId="Kommentarsreferens">
    <w:name w:val="annotation reference"/>
    <w:basedOn w:val="Standardstycketeckensnitt"/>
    <w:uiPriority w:val="99"/>
    <w:semiHidden/>
    <w:unhideWhenUsed/>
    <w:rsid w:val="0005668F"/>
    <w:rPr>
      <w:sz w:val="16"/>
      <w:szCs w:val="16"/>
    </w:rPr>
  </w:style>
  <w:style w:type="paragraph" w:styleId="Kommentarer">
    <w:name w:val="annotation text"/>
    <w:basedOn w:val="Normal"/>
    <w:link w:val="KommentarerChar"/>
    <w:uiPriority w:val="99"/>
    <w:unhideWhenUsed/>
    <w:rsid w:val="0005668F"/>
    <w:pPr>
      <w:spacing w:line="240" w:lineRule="auto"/>
    </w:pPr>
    <w:rPr>
      <w:sz w:val="20"/>
    </w:rPr>
  </w:style>
  <w:style w:type="character" w:customStyle="1" w:styleId="KommentarerChar">
    <w:name w:val="Kommentarer Char"/>
    <w:basedOn w:val="Standardstycketeckensnitt"/>
    <w:link w:val="Kommentarer"/>
    <w:uiPriority w:val="99"/>
    <w:rsid w:val="0005668F"/>
  </w:style>
  <w:style w:type="paragraph" w:styleId="Kommentarsmne">
    <w:name w:val="annotation subject"/>
    <w:basedOn w:val="Kommentarer"/>
    <w:next w:val="Kommentarer"/>
    <w:link w:val="KommentarsmneChar"/>
    <w:uiPriority w:val="99"/>
    <w:semiHidden/>
    <w:unhideWhenUsed/>
    <w:rsid w:val="0005668F"/>
    <w:rPr>
      <w:b/>
      <w:bCs/>
    </w:rPr>
  </w:style>
  <w:style w:type="character" w:customStyle="1" w:styleId="KommentarsmneChar">
    <w:name w:val="Kommentarsämne Char"/>
    <w:basedOn w:val="KommentarerChar"/>
    <w:link w:val="Kommentarsmne"/>
    <w:uiPriority w:val="99"/>
    <w:semiHidden/>
    <w:rsid w:val="0005668F"/>
    <w:rPr>
      <w:b/>
      <w:bCs/>
    </w:rPr>
  </w:style>
  <w:style w:type="paragraph" w:styleId="Ballongtext">
    <w:name w:val="Balloon Text"/>
    <w:basedOn w:val="Normal"/>
    <w:link w:val="BallongtextChar"/>
    <w:uiPriority w:val="99"/>
    <w:semiHidden/>
    <w:unhideWhenUsed/>
    <w:rsid w:val="0005668F"/>
    <w:pPr>
      <w:spacing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05668F"/>
    <w:rPr>
      <w:rFonts w:ascii="Tahoma" w:hAnsi="Tahoma" w:cs="Tahoma"/>
      <w:sz w:val="16"/>
      <w:szCs w:val="16"/>
    </w:rPr>
  </w:style>
  <w:style w:type="paragraph" w:styleId="Liststycke">
    <w:name w:val="List Paragraph"/>
    <w:basedOn w:val="Normal"/>
    <w:uiPriority w:val="34"/>
    <w:qFormat/>
    <w:rsid w:val="00BF5FD9"/>
    <w:pPr>
      <w:ind w:left="720"/>
      <w:contextualSpacing/>
    </w:pPr>
  </w:style>
  <w:style w:type="paragraph" w:styleId="Underrubrik">
    <w:name w:val="Subtitle"/>
    <w:basedOn w:val="Normal"/>
    <w:next w:val="Normal"/>
    <w:link w:val="UnderrubrikChar"/>
    <w:uiPriority w:val="11"/>
    <w:qFormat/>
    <w:rsid w:val="00832246"/>
    <w:pPr>
      <w:numPr>
        <w:ilvl w:val="1"/>
      </w:numPr>
      <w:spacing w:before="240"/>
    </w:pPr>
    <w:rPr>
      <w:rFonts w:asciiTheme="majorHAnsi" w:eastAsiaTheme="majorEastAsia" w:hAnsiTheme="majorHAnsi" w:cstheme="majorBidi"/>
      <w:iCs/>
      <w:color w:val="4F81BD" w:themeColor="accent1"/>
      <w:spacing w:val="15"/>
      <w:szCs w:val="24"/>
    </w:rPr>
  </w:style>
  <w:style w:type="character" w:customStyle="1" w:styleId="UnderrubrikChar">
    <w:name w:val="Underrubrik Char"/>
    <w:basedOn w:val="Standardstycketeckensnitt"/>
    <w:link w:val="Underrubrik"/>
    <w:uiPriority w:val="11"/>
    <w:rsid w:val="00832246"/>
    <w:rPr>
      <w:rFonts w:asciiTheme="majorHAnsi" w:eastAsiaTheme="majorEastAsia" w:hAnsiTheme="majorHAnsi" w:cstheme="majorBidi"/>
      <w:iCs/>
      <w:color w:val="4F81BD" w:themeColor="accent1"/>
      <w:spacing w:val="15"/>
      <w:sz w:val="24"/>
      <w:szCs w:val="24"/>
    </w:rPr>
  </w:style>
  <w:style w:type="character" w:styleId="Diskretbetoning">
    <w:name w:val="Subtle Emphasis"/>
    <w:basedOn w:val="Standardstycketeckensnitt"/>
    <w:uiPriority w:val="19"/>
    <w:qFormat/>
    <w:rsid w:val="00B252DA"/>
    <w:rPr>
      <w:rFonts w:ascii="Times New Roman" w:hAnsi="Times New Roman"/>
      <w:i w:val="0"/>
      <w:iCs/>
      <w:color w:val="BFBFBF" w:themeColor="background1" w:themeShade="BF"/>
      <w:sz w:val="16"/>
    </w:rPr>
  </w:style>
  <w:style w:type="character" w:styleId="Stark">
    <w:name w:val="Strong"/>
    <w:basedOn w:val="Standardstycketeckensnitt"/>
    <w:uiPriority w:val="22"/>
    <w:qFormat/>
    <w:rsid w:val="0094129A"/>
    <w:rPr>
      <w:b/>
      <w:bCs/>
      <w:color w:val="auto"/>
    </w:rPr>
  </w:style>
  <w:style w:type="character" w:styleId="Bokenstitel">
    <w:name w:val="Book Title"/>
    <w:basedOn w:val="Standardstycketeckensnitt"/>
    <w:uiPriority w:val="33"/>
    <w:qFormat/>
    <w:rsid w:val="00EF6397"/>
    <w:rPr>
      <w:b/>
      <w:bCs/>
      <w:smallCaps/>
      <w:color w:val="984806" w:themeColor="accent6" w:themeShade="80"/>
      <w:spacing w:val="5"/>
    </w:rPr>
  </w:style>
  <w:style w:type="paragraph" w:styleId="Beskrivning">
    <w:name w:val="caption"/>
    <w:basedOn w:val="Normal"/>
    <w:next w:val="Normal"/>
    <w:uiPriority w:val="35"/>
    <w:unhideWhenUsed/>
    <w:qFormat/>
    <w:rsid w:val="00A70F34"/>
    <w:pPr>
      <w:spacing w:after="200" w:line="240" w:lineRule="auto"/>
    </w:pPr>
    <w:rPr>
      <w:b/>
      <w:bCs/>
      <w:color w:val="4F81BD" w:themeColor="accent1"/>
      <w:sz w:val="18"/>
      <w:szCs w:val="18"/>
    </w:rPr>
  </w:style>
  <w:style w:type="table" w:styleId="Tabellrutnt">
    <w:name w:val="Table Grid"/>
    <w:basedOn w:val="Normaltabell"/>
    <w:uiPriority w:val="59"/>
    <w:rsid w:val="00772F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arkbetoning">
    <w:name w:val="Intense Emphasis"/>
    <w:basedOn w:val="Standardstycketeckensnitt"/>
    <w:uiPriority w:val="21"/>
    <w:qFormat/>
    <w:rsid w:val="0094129A"/>
    <w:rPr>
      <w:b/>
      <w:bCs/>
      <w:i/>
      <w:iCs/>
      <w:color w:val="4F81BD" w:themeColor="accent1"/>
    </w:rPr>
  </w:style>
  <w:style w:type="paragraph" w:customStyle="1" w:styleId="Titreobjet">
    <w:name w:val="Titre objet"/>
    <w:basedOn w:val="Normal"/>
    <w:next w:val="Normal"/>
    <w:rsid w:val="00AF5179"/>
    <w:pPr>
      <w:spacing w:before="360" w:after="360" w:line="360" w:lineRule="auto"/>
      <w:jc w:val="center"/>
    </w:pPr>
    <w:rPr>
      <w:b/>
      <w:szCs w:val="24"/>
      <w:lang w:val="en-GB" w:eastAsia="en-US"/>
    </w:rPr>
  </w:style>
  <w:style w:type="paragraph" w:styleId="Revision">
    <w:name w:val="Revision"/>
    <w:hidden/>
    <w:uiPriority w:val="99"/>
    <w:semiHidden/>
    <w:rsid w:val="00234112"/>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52DA"/>
    <w:pPr>
      <w:spacing w:after="120" w:line="360" w:lineRule="exact"/>
    </w:pPr>
    <w:rPr>
      <w:sz w:val="24"/>
    </w:rPr>
  </w:style>
  <w:style w:type="paragraph" w:styleId="Rubrik1">
    <w:name w:val="heading 1"/>
    <w:basedOn w:val="Normal"/>
    <w:next w:val="Normal"/>
    <w:link w:val="Rubrik1Char"/>
    <w:uiPriority w:val="9"/>
    <w:qFormat/>
    <w:rsid w:val="0094129A"/>
    <w:pPr>
      <w:keepNext/>
      <w:keepLines/>
      <w:numPr>
        <w:numId w:val="14"/>
      </w:numPr>
      <w:spacing w:before="480"/>
      <w:outlineLvl w:val="0"/>
    </w:pPr>
    <w:rPr>
      <w:rFonts w:asciiTheme="majorHAnsi" w:eastAsiaTheme="majorEastAsia" w:hAnsiTheme="majorHAnsi" w:cstheme="majorBidi"/>
      <w:b/>
      <w:bCs/>
      <w:color w:val="365F91" w:themeColor="accent1" w:themeShade="BF"/>
      <w:sz w:val="32"/>
      <w:szCs w:val="2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rsid w:val="008A2008"/>
    <w:pPr>
      <w:tabs>
        <w:tab w:val="center" w:pos="4536"/>
        <w:tab w:val="right" w:pos="9072"/>
      </w:tabs>
    </w:pPr>
  </w:style>
  <w:style w:type="paragraph" w:styleId="Sidfot">
    <w:name w:val="footer"/>
    <w:basedOn w:val="Normal"/>
    <w:rsid w:val="008A2008"/>
    <w:pPr>
      <w:tabs>
        <w:tab w:val="center" w:pos="4536"/>
        <w:tab w:val="right" w:pos="9072"/>
      </w:tabs>
    </w:pPr>
  </w:style>
  <w:style w:type="paragraph" w:customStyle="1" w:styleId="Adresse">
    <w:name w:val="Adresse"/>
    <w:basedOn w:val="Normal"/>
    <w:rsid w:val="008A2008"/>
    <w:pPr>
      <w:ind w:right="567"/>
    </w:pPr>
  </w:style>
  <w:style w:type="paragraph" w:styleId="Adress-brev">
    <w:name w:val="envelope address"/>
    <w:basedOn w:val="Normal"/>
    <w:rsid w:val="008A2008"/>
    <w:pPr>
      <w:framePr w:w="4320" w:h="2160" w:hRule="exact" w:hSpace="141" w:wrap="auto" w:hAnchor="page" w:xAlign="center" w:yAlign="bottom"/>
      <w:spacing w:line="240" w:lineRule="exact"/>
    </w:pPr>
  </w:style>
  <w:style w:type="paragraph" w:customStyle="1" w:styleId="Vfg2ff">
    <w:name w:val="Vfg 2 ff"/>
    <w:basedOn w:val="Normal"/>
    <w:rsid w:val="00FD0ECE"/>
    <w:pPr>
      <w:numPr>
        <w:numId w:val="2"/>
      </w:numPr>
    </w:pPr>
    <w:rPr>
      <w:vanish/>
      <w:szCs w:val="24"/>
    </w:rPr>
  </w:style>
  <w:style w:type="paragraph" w:styleId="Rubrik">
    <w:name w:val="Title"/>
    <w:basedOn w:val="Normal"/>
    <w:next w:val="Normal"/>
    <w:link w:val="RubrikChar"/>
    <w:uiPriority w:val="10"/>
    <w:qFormat/>
    <w:rsid w:val="00A83E0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RubrikChar">
    <w:name w:val="Rubrik Char"/>
    <w:basedOn w:val="Standardstycketeckensnitt"/>
    <w:link w:val="Rubrik"/>
    <w:uiPriority w:val="10"/>
    <w:rsid w:val="00A83E04"/>
    <w:rPr>
      <w:rFonts w:asciiTheme="majorHAnsi" w:eastAsiaTheme="majorEastAsia" w:hAnsiTheme="majorHAnsi" w:cstheme="majorBidi"/>
      <w:color w:val="17365D" w:themeColor="text2" w:themeShade="BF"/>
      <w:spacing w:val="5"/>
      <w:kern w:val="28"/>
      <w:sz w:val="52"/>
      <w:szCs w:val="52"/>
    </w:rPr>
  </w:style>
  <w:style w:type="character" w:customStyle="1" w:styleId="Rubrik1Char">
    <w:name w:val="Rubrik 1 Char"/>
    <w:basedOn w:val="Standardstycketeckensnitt"/>
    <w:link w:val="Rubrik1"/>
    <w:uiPriority w:val="9"/>
    <w:rsid w:val="0094129A"/>
    <w:rPr>
      <w:rFonts w:asciiTheme="majorHAnsi" w:eastAsiaTheme="majorEastAsia" w:hAnsiTheme="majorHAnsi" w:cstheme="majorBidi"/>
      <w:b/>
      <w:bCs/>
      <w:color w:val="365F91" w:themeColor="accent1" w:themeShade="BF"/>
      <w:sz w:val="32"/>
      <w:szCs w:val="28"/>
    </w:rPr>
  </w:style>
  <w:style w:type="character" w:styleId="Kommentarsreferens">
    <w:name w:val="annotation reference"/>
    <w:basedOn w:val="Standardstycketeckensnitt"/>
    <w:uiPriority w:val="99"/>
    <w:semiHidden/>
    <w:unhideWhenUsed/>
    <w:rsid w:val="0005668F"/>
    <w:rPr>
      <w:sz w:val="16"/>
      <w:szCs w:val="16"/>
    </w:rPr>
  </w:style>
  <w:style w:type="paragraph" w:styleId="Kommentarer">
    <w:name w:val="annotation text"/>
    <w:basedOn w:val="Normal"/>
    <w:link w:val="KommentarerChar"/>
    <w:uiPriority w:val="99"/>
    <w:unhideWhenUsed/>
    <w:rsid w:val="0005668F"/>
    <w:pPr>
      <w:spacing w:line="240" w:lineRule="auto"/>
    </w:pPr>
    <w:rPr>
      <w:sz w:val="20"/>
    </w:rPr>
  </w:style>
  <w:style w:type="character" w:customStyle="1" w:styleId="KommentarerChar">
    <w:name w:val="Kommentarer Char"/>
    <w:basedOn w:val="Standardstycketeckensnitt"/>
    <w:link w:val="Kommentarer"/>
    <w:uiPriority w:val="99"/>
    <w:rsid w:val="0005668F"/>
  </w:style>
  <w:style w:type="paragraph" w:styleId="Kommentarsmne">
    <w:name w:val="annotation subject"/>
    <w:basedOn w:val="Kommentarer"/>
    <w:next w:val="Kommentarer"/>
    <w:link w:val="KommentarsmneChar"/>
    <w:uiPriority w:val="99"/>
    <w:semiHidden/>
    <w:unhideWhenUsed/>
    <w:rsid w:val="0005668F"/>
    <w:rPr>
      <w:b/>
      <w:bCs/>
    </w:rPr>
  </w:style>
  <w:style w:type="character" w:customStyle="1" w:styleId="KommentarsmneChar">
    <w:name w:val="Kommentarsämne Char"/>
    <w:basedOn w:val="KommentarerChar"/>
    <w:link w:val="Kommentarsmne"/>
    <w:uiPriority w:val="99"/>
    <w:semiHidden/>
    <w:rsid w:val="0005668F"/>
    <w:rPr>
      <w:b/>
      <w:bCs/>
    </w:rPr>
  </w:style>
  <w:style w:type="paragraph" w:styleId="Ballongtext">
    <w:name w:val="Balloon Text"/>
    <w:basedOn w:val="Normal"/>
    <w:link w:val="BallongtextChar"/>
    <w:uiPriority w:val="99"/>
    <w:semiHidden/>
    <w:unhideWhenUsed/>
    <w:rsid w:val="0005668F"/>
    <w:pPr>
      <w:spacing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05668F"/>
    <w:rPr>
      <w:rFonts w:ascii="Tahoma" w:hAnsi="Tahoma" w:cs="Tahoma"/>
      <w:sz w:val="16"/>
      <w:szCs w:val="16"/>
    </w:rPr>
  </w:style>
  <w:style w:type="paragraph" w:styleId="Liststycke">
    <w:name w:val="List Paragraph"/>
    <w:basedOn w:val="Normal"/>
    <w:uiPriority w:val="34"/>
    <w:qFormat/>
    <w:rsid w:val="00BF5FD9"/>
    <w:pPr>
      <w:ind w:left="720"/>
      <w:contextualSpacing/>
    </w:pPr>
  </w:style>
  <w:style w:type="paragraph" w:styleId="Underrubrik">
    <w:name w:val="Subtitle"/>
    <w:basedOn w:val="Normal"/>
    <w:next w:val="Normal"/>
    <w:link w:val="UnderrubrikChar"/>
    <w:uiPriority w:val="11"/>
    <w:qFormat/>
    <w:rsid w:val="00832246"/>
    <w:pPr>
      <w:numPr>
        <w:ilvl w:val="1"/>
      </w:numPr>
      <w:spacing w:before="240"/>
    </w:pPr>
    <w:rPr>
      <w:rFonts w:asciiTheme="majorHAnsi" w:eastAsiaTheme="majorEastAsia" w:hAnsiTheme="majorHAnsi" w:cstheme="majorBidi"/>
      <w:iCs/>
      <w:color w:val="4F81BD" w:themeColor="accent1"/>
      <w:spacing w:val="15"/>
      <w:szCs w:val="24"/>
    </w:rPr>
  </w:style>
  <w:style w:type="character" w:customStyle="1" w:styleId="UnderrubrikChar">
    <w:name w:val="Underrubrik Char"/>
    <w:basedOn w:val="Standardstycketeckensnitt"/>
    <w:link w:val="Underrubrik"/>
    <w:uiPriority w:val="11"/>
    <w:rsid w:val="00832246"/>
    <w:rPr>
      <w:rFonts w:asciiTheme="majorHAnsi" w:eastAsiaTheme="majorEastAsia" w:hAnsiTheme="majorHAnsi" w:cstheme="majorBidi"/>
      <w:iCs/>
      <w:color w:val="4F81BD" w:themeColor="accent1"/>
      <w:spacing w:val="15"/>
      <w:sz w:val="24"/>
      <w:szCs w:val="24"/>
    </w:rPr>
  </w:style>
  <w:style w:type="character" w:styleId="Diskretbetoning">
    <w:name w:val="Subtle Emphasis"/>
    <w:basedOn w:val="Standardstycketeckensnitt"/>
    <w:uiPriority w:val="19"/>
    <w:qFormat/>
    <w:rsid w:val="00B252DA"/>
    <w:rPr>
      <w:rFonts w:ascii="Times New Roman" w:hAnsi="Times New Roman"/>
      <w:i w:val="0"/>
      <w:iCs/>
      <w:color w:val="BFBFBF" w:themeColor="background1" w:themeShade="BF"/>
      <w:sz w:val="16"/>
    </w:rPr>
  </w:style>
  <w:style w:type="character" w:styleId="Stark">
    <w:name w:val="Strong"/>
    <w:basedOn w:val="Standardstycketeckensnitt"/>
    <w:uiPriority w:val="22"/>
    <w:qFormat/>
    <w:rsid w:val="0094129A"/>
    <w:rPr>
      <w:b/>
      <w:bCs/>
      <w:color w:val="auto"/>
    </w:rPr>
  </w:style>
  <w:style w:type="character" w:styleId="Bokenstitel">
    <w:name w:val="Book Title"/>
    <w:basedOn w:val="Standardstycketeckensnitt"/>
    <w:uiPriority w:val="33"/>
    <w:qFormat/>
    <w:rsid w:val="00EF6397"/>
    <w:rPr>
      <w:b/>
      <w:bCs/>
      <w:smallCaps/>
      <w:color w:val="984806" w:themeColor="accent6" w:themeShade="80"/>
      <w:spacing w:val="5"/>
    </w:rPr>
  </w:style>
  <w:style w:type="paragraph" w:styleId="Beskrivning">
    <w:name w:val="caption"/>
    <w:basedOn w:val="Normal"/>
    <w:next w:val="Normal"/>
    <w:uiPriority w:val="35"/>
    <w:unhideWhenUsed/>
    <w:qFormat/>
    <w:rsid w:val="00A70F34"/>
    <w:pPr>
      <w:spacing w:after="200" w:line="240" w:lineRule="auto"/>
    </w:pPr>
    <w:rPr>
      <w:b/>
      <w:bCs/>
      <w:color w:val="4F81BD" w:themeColor="accent1"/>
      <w:sz w:val="18"/>
      <w:szCs w:val="18"/>
    </w:rPr>
  </w:style>
  <w:style w:type="table" w:styleId="Tabellrutnt">
    <w:name w:val="Table Grid"/>
    <w:basedOn w:val="Normaltabell"/>
    <w:uiPriority w:val="59"/>
    <w:rsid w:val="00772F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arkbetoning">
    <w:name w:val="Intense Emphasis"/>
    <w:basedOn w:val="Standardstycketeckensnitt"/>
    <w:uiPriority w:val="21"/>
    <w:qFormat/>
    <w:rsid w:val="0094129A"/>
    <w:rPr>
      <w:b/>
      <w:bCs/>
      <w:i/>
      <w:iCs/>
      <w:color w:val="4F81BD" w:themeColor="accent1"/>
    </w:rPr>
  </w:style>
  <w:style w:type="paragraph" w:customStyle="1" w:styleId="Titreobjet">
    <w:name w:val="Titre objet"/>
    <w:basedOn w:val="Normal"/>
    <w:next w:val="Normal"/>
    <w:rsid w:val="00AF5179"/>
    <w:pPr>
      <w:spacing w:before="360" w:after="360" w:line="360" w:lineRule="auto"/>
      <w:jc w:val="center"/>
    </w:pPr>
    <w:rPr>
      <w:b/>
      <w:szCs w:val="24"/>
      <w:lang w:val="en-GB" w:eastAsia="en-US"/>
    </w:rPr>
  </w:style>
  <w:style w:type="paragraph" w:styleId="Revision">
    <w:name w:val="Revision"/>
    <w:hidden/>
    <w:uiPriority w:val="99"/>
    <w:semiHidden/>
    <w:rsid w:val="00234112"/>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485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6BF994-E8A3-4C99-977D-603FD5855B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861</Words>
  <Characters>4910</Characters>
  <Application>Microsoft Office Word</Application>
  <DocSecurity>0</DocSecurity>
  <Lines>40</Lines>
  <Paragraphs>11</Paragraphs>
  <ScaleCrop>false</ScaleCrop>
  <HeadingPairs>
    <vt:vector size="4" baseType="variant">
      <vt:variant>
        <vt:lpstr>Rubrik</vt:lpstr>
      </vt:variant>
      <vt:variant>
        <vt:i4>1</vt:i4>
      </vt:variant>
      <vt:variant>
        <vt:lpstr>Titel</vt:lpstr>
      </vt:variant>
      <vt:variant>
        <vt:i4>1</vt:i4>
      </vt:variant>
    </vt:vector>
  </HeadingPairs>
  <TitlesOfParts>
    <vt:vector size="2" baseType="lpstr">
      <vt:lpstr>Leeres Dokument BMELV</vt:lpstr>
      <vt:lpstr>Leeres Dokument BMELV</vt:lpstr>
    </vt:vector>
  </TitlesOfParts>
  <Company>BMELV</Company>
  <LinksUpToDate>false</LinksUpToDate>
  <CharactersWithSpaces>5760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Leeres Dokument BMELV</dc:title>
  <dc:creator>Müller, Jan Fiete</dc:creator>
  <cp:lastModifiedBy>Christian</cp:lastModifiedBy>
  <cp:revision>2</cp:revision>
  <cp:lastPrinted>2017-04-06T09:15:00Z</cp:lastPrinted>
  <dcterms:created xsi:type="dcterms:W3CDTF">2017-04-07T12:16:00Z</dcterms:created>
  <dcterms:modified xsi:type="dcterms:W3CDTF">2017-04-07T12:16:00Z</dcterms:modified>
</cp:coreProperties>
</file>